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6E" w:rsidRPr="003A08D2" w:rsidRDefault="001A466E" w:rsidP="001A466E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АНАЛІЗ РЕГУЛЯТОРНОГО ВПЛИВУ</w:t>
      </w:r>
    </w:p>
    <w:p w:rsidR="001A466E" w:rsidRPr="004D2908" w:rsidRDefault="001A466E" w:rsidP="001A466E">
      <w:pPr>
        <w:ind w:right="-2"/>
        <w:jc w:val="both"/>
        <w:rPr>
          <w:sz w:val="24"/>
          <w:szCs w:val="24"/>
          <w:lang w:val="uk-UA"/>
        </w:rPr>
      </w:pPr>
      <w:r w:rsidRPr="00194283">
        <w:rPr>
          <w:b/>
          <w:bCs/>
          <w:sz w:val="24"/>
          <w:szCs w:val="24"/>
          <w:lang w:val="uk-UA"/>
        </w:rPr>
        <w:t xml:space="preserve">НАЗВА АКТУ: </w:t>
      </w:r>
      <w:r w:rsidRPr="00194283">
        <w:rPr>
          <w:b/>
          <w:bCs/>
          <w:sz w:val="24"/>
          <w:szCs w:val="24"/>
        </w:rPr>
        <w:t> </w:t>
      </w:r>
      <w:hyperlink r:id="rId4" w:history="1">
        <w:r w:rsidRPr="00194283">
          <w:rPr>
            <w:sz w:val="24"/>
            <w:szCs w:val="24"/>
            <w:lang w:val="uk-UA"/>
          </w:rPr>
          <w:t>проект рішення Южноукраїнської міської ради</w:t>
        </w:r>
      </w:hyperlink>
      <w:r w:rsidRPr="00194283">
        <w:rPr>
          <w:sz w:val="24"/>
          <w:szCs w:val="24"/>
        </w:rPr>
        <w:t> </w:t>
      </w:r>
      <w:r w:rsidRPr="00194283">
        <w:rPr>
          <w:i/>
          <w:iCs/>
          <w:color w:val="333333"/>
          <w:sz w:val="24"/>
          <w:szCs w:val="24"/>
        </w:rPr>
        <w:t> </w:t>
      </w:r>
      <w:r w:rsidRPr="004D2908">
        <w:rPr>
          <w:sz w:val="24"/>
          <w:szCs w:val="24"/>
          <w:lang w:val="uk-UA"/>
        </w:rPr>
        <w:t>«</w:t>
      </w:r>
      <w:r w:rsidRPr="00B41EB4">
        <w:rPr>
          <w:sz w:val="24"/>
          <w:szCs w:val="24"/>
          <w:lang w:val="uk-UA"/>
        </w:rPr>
        <w:t>Про встановлення на 2020 рік ставок туристичного збору в місті Южноукраїнську</w:t>
      </w:r>
      <w:r w:rsidRPr="004D2908">
        <w:rPr>
          <w:sz w:val="24"/>
          <w:szCs w:val="24"/>
          <w:lang w:val="uk-UA"/>
        </w:rPr>
        <w:t xml:space="preserve">» </w:t>
      </w:r>
    </w:p>
    <w:p w:rsidR="001A466E" w:rsidRPr="00AD48F0" w:rsidRDefault="001A466E" w:rsidP="001A466E">
      <w:pPr>
        <w:jc w:val="both"/>
        <w:rPr>
          <w:color w:val="333333"/>
          <w:sz w:val="24"/>
          <w:szCs w:val="24"/>
          <w:lang w:val="uk-UA"/>
        </w:rPr>
      </w:pPr>
    </w:p>
    <w:p w:rsidR="001A466E" w:rsidRDefault="001A466E" w:rsidP="001A466E">
      <w:pPr>
        <w:ind w:firstLine="708"/>
        <w:jc w:val="both"/>
        <w:rPr>
          <w:color w:val="333333"/>
          <w:sz w:val="24"/>
          <w:szCs w:val="24"/>
          <w:lang w:val="uk-UA"/>
        </w:rPr>
      </w:pPr>
      <w:r w:rsidRPr="00AD48F0">
        <w:rPr>
          <w:color w:val="333333"/>
          <w:sz w:val="24"/>
          <w:szCs w:val="24"/>
        </w:rPr>
        <w:t>Назва регуляторного органу –</w:t>
      </w:r>
      <w:r>
        <w:rPr>
          <w:color w:val="333333"/>
          <w:sz w:val="24"/>
          <w:szCs w:val="24"/>
          <w:lang w:val="uk-UA"/>
        </w:rPr>
        <w:t xml:space="preserve"> Южноукраїнська </w:t>
      </w:r>
      <w:r w:rsidRPr="00AD48F0">
        <w:rPr>
          <w:color w:val="333333"/>
          <w:sz w:val="24"/>
          <w:szCs w:val="24"/>
        </w:rPr>
        <w:t>міська  рада</w:t>
      </w:r>
    </w:p>
    <w:p w:rsidR="001A466E" w:rsidRPr="00083874" w:rsidRDefault="001A466E" w:rsidP="001A466E">
      <w:pPr>
        <w:ind w:firstLine="708"/>
        <w:jc w:val="both"/>
        <w:rPr>
          <w:color w:val="333333"/>
          <w:sz w:val="24"/>
          <w:szCs w:val="24"/>
          <w:lang w:val="uk-UA"/>
        </w:rPr>
      </w:pPr>
      <w:r>
        <w:rPr>
          <w:color w:val="333333"/>
          <w:sz w:val="24"/>
          <w:szCs w:val="24"/>
          <w:lang w:val="uk-UA"/>
        </w:rPr>
        <w:t>Розробник регуляторного акту – управління економічного розвитку Южноукраїнської міської ради</w:t>
      </w:r>
    </w:p>
    <w:p w:rsidR="001A466E" w:rsidRPr="00083874" w:rsidRDefault="001A466E" w:rsidP="001A466E">
      <w:pPr>
        <w:jc w:val="both"/>
        <w:rPr>
          <w:color w:val="333333"/>
          <w:sz w:val="24"/>
          <w:szCs w:val="24"/>
          <w:lang w:val="uk-UA"/>
        </w:rPr>
      </w:pPr>
      <w:r w:rsidRPr="00AD48F0">
        <w:rPr>
          <w:color w:val="333333"/>
          <w:sz w:val="24"/>
          <w:szCs w:val="24"/>
        </w:rPr>
        <w:t> </w:t>
      </w:r>
      <w:r>
        <w:rPr>
          <w:color w:val="333333"/>
          <w:sz w:val="24"/>
          <w:szCs w:val="24"/>
          <w:lang w:val="uk-UA"/>
        </w:rPr>
        <w:tab/>
      </w:r>
      <w:r w:rsidRPr="00083874">
        <w:rPr>
          <w:color w:val="333333"/>
          <w:sz w:val="24"/>
          <w:szCs w:val="24"/>
          <w:lang w:val="uk-UA"/>
        </w:rPr>
        <w:t>Підготовлений відповідно до вимог Закону України «Про засади державної регуляторної політики у сфері господарської діяльності» та з урахуванням Методики проведення аналізу впливу регуляторного акту, затвердженої постановою Кабінету Міністрів України від 11.03.2004 року № 308 зі змінами, внесеними постановою Кабінету Міністрів України від 16.12.2015№1151.</w:t>
      </w:r>
    </w:p>
    <w:p w:rsidR="001A466E" w:rsidRPr="00083874" w:rsidRDefault="001A466E" w:rsidP="001A466E">
      <w:pPr>
        <w:jc w:val="both"/>
        <w:rPr>
          <w:color w:val="333333"/>
          <w:sz w:val="24"/>
          <w:szCs w:val="24"/>
          <w:lang w:val="uk-UA"/>
        </w:rPr>
      </w:pPr>
      <w:r w:rsidRPr="00AD48F0">
        <w:rPr>
          <w:color w:val="333333"/>
          <w:sz w:val="24"/>
          <w:szCs w:val="24"/>
        </w:rPr>
        <w:t> </w:t>
      </w:r>
    </w:p>
    <w:p w:rsidR="001A466E" w:rsidRPr="00B41EB4" w:rsidRDefault="001A466E" w:rsidP="001A466E">
      <w:pPr>
        <w:ind w:firstLine="708"/>
        <w:jc w:val="both"/>
        <w:rPr>
          <w:color w:val="333333"/>
          <w:sz w:val="24"/>
          <w:szCs w:val="24"/>
        </w:rPr>
      </w:pPr>
      <w:r w:rsidRPr="00B41EB4">
        <w:rPr>
          <w:b/>
          <w:bCs/>
          <w:color w:val="333333"/>
          <w:sz w:val="24"/>
          <w:szCs w:val="24"/>
        </w:rPr>
        <w:t xml:space="preserve">І. Визначення проблеми, яку передбачається розв’язати шляхом </w:t>
      </w:r>
      <w:r w:rsidRPr="00B41EB4">
        <w:rPr>
          <w:b/>
          <w:bCs/>
          <w:color w:val="333333"/>
          <w:sz w:val="24"/>
          <w:szCs w:val="24"/>
          <w:lang w:val="uk-UA"/>
        </w:rPr>
        <w:t>д</w:t>
      </w:r>
      <w:r w:rsidRPr="00B41EB4">
        <w:rPr>
          <w:b/>
          <w:bCs/>
          <w:color w:val="333333"/>
          <w:sz w:val="24"/>
          <w:szCs w:val="24"/>
        </w:rPr>
        <w:t>ержавного регулювання</w:t>
      </w:r>
    </w:p>
    <w:p w:rsidR="001A466E" w:rsidRPr="00B41EB4" w:rsidRDefault="001A466E" w:rsidP="001A466E">
      <w:pPr>
        <w:jc w:val="both"/>
        <w:rPr>
          <w:sz w:val="24"/>
          <w:szCs w:val="24"/>
          <w:lang w:val="uk-UA"/>
        </w:rPr>
      </w:pPr>
    </w:p>
    <w:p w:rsidR="001A466E" w:rsidRPr="00B41EB4" w:rsidRDefault="001A466E" w:rsidP="001A466E">
      <w:pPr>
        <w:ind w:firstLine="708"/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>Проблеми, які передбачається розв'язати, та причини їх виникнення – це  безпосередня  вимога  законодавства.  Органи  місцевого  самоврядування кожного року ухвалюють рішення про місцеві податки та збори на наступний рік.  Враховуючи,  що  в  разі  невстановлення  місцевих  податків  і  зборів, передбачених статтею 10 Податкового кодексу України (надалі – Кодекс),  рішеннями  місцевого  самоврядування,  такі  податки  й  збори сплачуються  платниками  в  порядку,  установленому  Податковим кодексом України за мінімальними  ставками  та  без  застосування  відповідних  коефіцієнтів</w:t>
      </w:r>
      <w:r>
        <w:rPr>
          <w:sz w:val="24"/>
          <w:szCs w:val="24"/>
          <w:lang w:val="uk-UA"/>
        </w:rPr>
        <w:t>. О</w:t>
      </w:r>
      <w:r w:rsidRPr="00B41EB4">
        <w:rPr>
          <w:sz w:val="24"/>
          <w:szCs w:val="24"/>
          <w:lang w:val="uk-UA"/>
        </w:rPr>
        <w:t xml:space="preserve">скільки  мінімального  розміру  не  встановлено,  слід  вважати,  що надходження до міського бюджету від справляння </w:t>
      </w:r>
      <w:r>
        <w:rPr>
          <w:sz w:val="24"/>
          <w:szCs w:val="24"/>
          <w:lang w:val="uk-UA"/>
        </w:rPr>
        <w:t>туристичного збору</w:t>
      </w:r>
      <w:r w:rsidRPr="00B41EB4">
        <w:rPr>
          <w:sz w:val="24"/>
          <w:szCs w:val="24"/>
          <w:lang w:val="uk-UA"/>
        </w:rPr>
        <w:t xml:space="preserve"> будуть 0 грн.</w:t>
      </w:r>
      <w:r>
        <w:rPr>
          <w:sz w:val="24"/>
          <w:szCs w:val="24"/>
          <w:lang w:val="uk-UA"/>
        </w:rPr>
        <w:t xml:space="preserve"> При цьому, </w:t>
      </w:r>
      <w:r w:rsidRPr="00B41EB4">
        <w:rPr>
          <w:sz w:val="24"/>
          <w:szCs w:val="24"/>
          <w:lang w:val="uk-UA"/>
        </w:rPr>
        <w:t xml:space="preserve">негативний вплив буде завдано Южноукраїнській міській територіальній громаді, оскільки відсутність надходжень до міського бюджету ставить під загрозу  виконання  міських  програм: </w:t>
      </w:r>
      <w:r w:rsidRPr="00B41EB4">
        <w:rPr>
          <w:rStyle w:val="a3"/>
          <w:rFonts w:eastAsiaTheme="majorEastAsia"/>
          <w:sz w:val="24"/>
          <w:szCs w:val="24"/>
          <w:lang w:val="uk-UA"/>
        </w:rPr>
        <w:t>соціальних, економічних, екологічних, розвитку підприємництва, у сфері адміністративних послуг, фінансування бюджетної сфери в галузях освіти, охорони здоров’я, соціального захисту, житлово-комунального та дорожнього господарства, транспорту тощо</w:t>
      </w:r>
    </w:p>
    <w:p w:rsidR="001A466E" w:rsidRPr="00B41EB4" w:rsidRDefault="001A466E" w:rsidP="001A466E">
      <w:pPr>
        <w:ind w:firstLine="708"/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>Важливість проблеми - забезпечення стабільного економічного та соціального розвитку міста шляхом реалізації місцевих  програм  виконання  яких  залежить  від  наповнення  міського бюджету і потребує відповідного фінансового забезпечення</w:t>
      </w:r>
    </w:p>
    <w:p w:rsidR="001A466E" w:rsidRPr="00B41EB4" w:rsidRDefault="001A466E" w:rsidP="001A466E">
      <w:pPr>
        <w:ind w:firstLine="426"/>
        <w:jc w:val="both"/>
        <w:rPr>
          <w:sz w:val="24"/>
          <w:szCs w:val="24"/>
          <w:lang w:val="uk-UA"/>
        </w:rPr>
      </w:pPr>
    </w:p>
    <w:p w:rsidR="001A466E" w:rsidRPr="00B41EB4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 xml:space="preserve">У 2018 році на території міста  Южноукраїнська налічувалось 4 </w:t>
      </w:r>
      <w:r>
        <w:rPr>
          <w:sz w:val="24"/>
          <w:szCs w:val="24"/>
          <w:lang w:val="uk-UA"/>
        </w:rPr>
        <w:t xml:space="preserve">агенти, які сплачували </w:t>
      </w:r>
      <w:r w:rsidRPr="00B41EB4">
        <w:rPr>
          <w:sz w:val="24"/>
          <w:szCs w:val="24"/>
          <w:lang w:val="uk-UA"/>
        </w:rPr>
        <w:t>туристичн</w:t>
      </w:r>
      <w:r>
        <w:rPr>
          <w:sz w:val="24"/>
          <w:szCs w:val="24"/>
          <w:lang w:val="uk-UA"/>
        </w:rPr>
        <w:t>ий</w:t>
      </w:r>
      <w:r w:rsidRPr="00B41EB4">
        <w:rPr>
          <w:sz w:val="24"/>
          <w:szCs w:val="24"/>
          <w:lang w:val="uk-UA"/>
        </w:rPr>
        <w:t xml:space="preserve"> зб</w:t>
      </w:r>
      <w:r>
        <w:rPr>
          <w:sz w:val="24"/>
          <w:szCs w:val="24"/>
          <w:lang w:val="uk-UA"/>
        </w:rPr>
        <w:t>ір у місті Южноукраїнську ( в т.ч. 1 – велике підприємство та 3  фізичні особи-підприємці), у 2019 році нараховано 12 субєктів підприємницької діяльності, які замаються готельним бізнесом. Даним проектом рішення також пропонується затвердити перелік податкових агентів щодо сплати туристичного збору в місті Южноукраїнську. Н</w:t>
      </w:r>
      <w:r w:rsidRPr="00B41EB4">
        <w:rPr>
          <w:sz w:val="24"/>
          <w:szCs w:val="24"/>
          <w:lang w:val="uk-UA"/>
        </w:rPr>
        <w:t>адходження до міського бюджету у 2018 році від сплати туристичного збору склали –12,8 тис. грн.</w:t>
      </w:r>
      <w:r>
        <w:rPr>
          <w:sz w:val="24"/>
          <w:szCs w:val="24"/>
          <w:lang w:val="uk-UA"/>
        </w:rPr>
        <w:t>, у 2019 році планується – 25,0 тис. грн.</w:t>
      </w:r>
    </w:p>
    <w:p w:rsidR="001A466E" w:rsidRPr="00B41EB4" w:rsidRDefault="001A466E" w:rsidP="001A466E">
      <w:pPr>
        <w:ind w:firstLine="708"/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 xml:space="preserve">Для  розрахунку  прогнозних показників  суми  витрат  суб’єктів  </w:t>
      </w:r>
      <w:r>
        <w:rPr>
          <w:sz w:val="24"/>
          <w:szCs w:val="24"/>
          <w:lang w:val="uk-UA"/>
        </w:rPr>
        <w:t>господарювання</w:t>
      </w:r>
      <w:r w:rsidRPr="00B41EB4">
        <w:rPr>
          <w:sz w:val="24"/>
          <w:szCs w:val="24"/>
          <w:lang w:val="uk-UA"/>
        </w:rPr>
        <w:t xml:space="preserve">  враховувалися основні  прогнозні  макропоказники  економічного  й  соціального  розвитку України  (лист  Міністерства  фінансів  України  від  03.08.2018  №05110-14-21/20720 «Про особливості складання проектів місцевих бюджетів на 2019 рік»)  на  2020  рік  прогнозований  розмір мінімальної  заробітної  плати,  установленої законом на 01 січня 2020 року (надалі – мінімальної заробітної плати) – 4 407 грн.  </w:t>
      </w:r>
    </w:p>
    <w:p w:rsidR="001A466E" w:rsidRPr="00B41EB4" w:rsidRDefault="001A466E" w:rsidP="001A466E">
      <w:pPr>
        <w:ind w:firstLine="708"/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 xml:space="preserve">Відповідно  до  чинного  законодавства  повноваження  щодо встановлення  місцевих  податків  є  виключною  компетенцією  органів місцевого самоврядування  і  ставки  туристичного збору встановлюються  міськими  радами  в  межах  </w:t>
      </w:r>
      <w:r>
        <w:rPr>
          <w:sz w:val="24"/>
          <w:szCs w:val="24"/>
          <w:lang w:val="uk-UA"/>
        </w:rPr>
        <w:t>розмірів</w:t>
      </w:r>
      <w:r w:rsidRPr="00B41EB4">
        <w:rPr>
          <w:sz w:val="24"/>
          <w:szCs w:val="24"/>
          <w:lang w:val="uk-UA"/>
        </w:rPr>
        <w:t xml:space="preserve">, визначених  Кодексом,  а саме, </w:t>
      </w:r>
      <w:r w:rsidRPr="00B41EB4">
        <w:rPr>
          <w:color w:val="000000"/>
          <w:sz w:val="24"/>
          <w:szCs w:val="24"/>
          <w:shd w:val="clear" w:color="auto" w:fill="FFFFFF"/>
        </w:rPr>
        <w:t xml:space="preserve">за кожну добу тимчасового розміщення особи у місцях </w:t>
      </w:r>
      <w:r w:rsidRPr="00B41EB4">
        <w:rPr>
          <w:color w:val="000000"/>
          <w:sz w:val="24"/>
          <w:szCs w:val="24"/>
          <w:shd w:val="clear" w:color="auto" w:fill="FFFFFF"/>
        </w:rPr>
        <w:lastRenderedPageBreak/>
        <w:t xml:space="preserve">проживання (ночівлі), визначених підпунктом 268.5.1 пункту 268.5 </w:t>
      </w:r>
      <w:r w:rsidRPr="00B41EB4">
        <w:rPr>
          <w:color w:val="000000"/>
          <w:sz w:val="24"/>
          <w:szCs w:val="24"/>
          <w:shd w:val="clear" w:color="auto" w:fill="FFFFFF"/>
          <w:lang w:val="uk-UA"/>
        </w:rPr>
        <w:t>Кодексу</w:t>
      </w:r>
      <w:r w:rsidRPr="00B41EB4">
        <w:rPr>
          <w:color w:val="000000"/>
          <w:sz w:val="24"/>
          <w:szCs w:val="24"/>
          <w:shd w:val="clear" w:color="auto" w:fill="FFFFFF"/>
        </w:rPr>
        <w:t>, у розмірі до 0,5 відсотка - для внутрішнього туризму та до 5 відсотків - для в’їзного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розміщення.</w:t>
      </w:r>
      <w:r w:rsidRPr="00B41EB4">
        <w:rPr>
          <w:sz w:val="24"/>
          <w:szCs w:val="24"/>
          <w:lang w:val="uk-UA"/>
        </w:rPr>
        <w:t xml:space="preserve">розміру мінімальної заробітної плати). Проектом регуляторного акту ропонується залишити ставки туристичного збору на рівні, встановленому на 2019 рік,  </w:t>
      </w:r>
      <w:r w:rsidRPr="00B41EB4">
        <w:rPr>
          <w:color w:val="000000"/>
          <w:sz w:val="24"/>
          <w:szCs w:val="24"/>
          <w:shd w:val="clear" w:color="auto" w:fill="FFFFFF"/>
        </w:rPr>
        <w:t>0,</w:t>
      </w:r>
      <w:r w:rsidRPr="00B41EB4">
        <w:rPr>
          <w:color w:val="000000"/>
          <w:sz w:val="24"/>
          <w:szCs w:val="24"/>
          <w:shd w:val="clear" w:color="auto" w:fill="FFFFFF"/>
          <w:lang w:val="uk-UA"/>
        </w:rPr>
        <w:t>2</w:t>
      </w:r>
      <w:r w:rsidRPr="00B41EB4">
        <w:rPr>
          <w:color w:val="000000"/>
          <w:sz w:val="24"/>
          <w:szCs w:val="24"/>
          <w:shd w:val="clear" w:color="auto" w:fill="FFFFFF"/>
        </w:rPr>
        <w:t xml:space="preserve"> відсотка - для внутрішнього туризму та 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0,2 відсотки - </w:t>
      </w:r>
      <w:r w:rsidRPr="00B41EB4">
        <w:rPr>
          <w:color w:val="000000"/>
          <w:sz w:val="24"/>
          <w:szCs w:val="24"/>
          <w:shd w:val="clear" w:color="auto" w:fill="FFFFFF"/>
        </w:rPr>
        <w:t>для в’їзного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розміщення.</w:t>
      </w:r>
      <w:r w:rsidRPr="00B41EB4">
        <w:rPr>
          <w:sz w:val="24"/>
          <w:szCs w:val="24"/>
          <w:lang w:val="uk-UA"/>
        </w:rPr>
        <w:t xml:space="preserve"> Прийняття даного рішення дасть можливість залучити фінансовий ресурс до міського бюджету.</w:t>
      </w:r>
    </w:p>
    <w:p w:rsidR="001A466E" w:rsidRPr="00B41EB4" w:rsidRDefault="001A466E" w:rsidP="001A466E">
      <w:pPr>
        <w:ind w:firstLine="708"/>
        <w:jc w:val="both"/>
        <w:rPr>
          <w:sz w:val="24"/>
          <w:szCs w:val="24"/>
          <w:lang w:val="uk-UA"/>
        </w:rPr>
      </w:pPr>
    </w:p>
    <w:p w:rsidR="001A466E" w:rsidRPr="00B41EB4" w:rsidRDefault="001A466E" w:rsidP="001A466E">
      <w:pPr>
        <w:tabs>
          <w:tab w:val="left" w:pos="0"/>
        </w:tabs>
        <w:rPr>
          <w:b/>
          <w:bCs/>
          <w:color w:val="333333"/>
          <w:sz w:val="24"/>
          <w:szCs w:val="24"/>
          <w:lang w:val="uk-UA"/>
        </w:rPr>
      </w:pPr>
      <w:r w:rsidRPr="00B41EB4">
        <w:rPr>
          <w:b/>
          <w:bCs/>
          <w:color w:val="333333"/>
          <w:sz w:val="24"/>
          <w:szCs w:val="24"/>
          <w:lang w:val="uk-UA"/>
        </w:rPr>
        <w:tab/>
      </w:r>
      <w:r w:rsidRPr="00B41EB4">
        <w:rPr>
          <w:b/>
          <w:bCs/>
          <w:color w:val="333333"/>
          <w:sz w:val="24"/>
          <w:szCs w:val="24"/>
        </w:rPr>
        <w:t>Проблеми, які пропонується розв’язати з прийняттям даного рішення.</w:t>
      </w:r>
    </w:p>
    <w:p w:rsidR="001A466E" w:rsidRPr="00B41EB4" w:rsidRDefault="001A466E" w:rsidP="001A466E">
      <w:pPr>
        <w:tabs>
          <w:tab w:val="left" w:pos="0"/>
        </w:tabs>
        <w:ind w:firstLine="567"/>
        <w:rPr>
          <w:sz w:val="24"/>
          <w:szCs w:val="24"/>
          <w:lang w:val="uk-UA"/>
        </w:rPr>
      </w:pPr>
    </w:p>
    <w:p w:rsidR="001A466E" w:rsidRPr="00B41EB4" w:rsidRDefault="001A466E" w:rsidP="001A466E">
      <w:pPr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 xml:space="preserve">Розв’язання даної проблеми за допомогою ринкового механізму неможливе, оскільки чинне податкове законодавство чітко регламентує, що до повноважень саме міських рад належить встановлення ставок місцевих податків та зборів в межах </w:t>
      </w:r>
      <w:r>
        <w:rPr>
          <w:sz w:val="24"/>
          <w:szCs w:val="24"/>
          <w:lang w:val="uk-UA"/>
        </w:rPr>
        <w:t xml:space="preserve">розмірів </w:t>
      </w:r>
      <w:r w:rsidRPr="00B41EB4">
        <w:rPr>
          <w:sz w:val="24"/>
          <w:szCs w:val="24"/>
          <w:lang w:val="uk-UA"/>
        </w:rPr>
        <w:t xml:space="preserve">ставок, визначених Кодексом. </w:t>
      </w:r>
    </w:p>
    <w:p w:rsidR="001A466E" w:rsidRPr="00B41EB4" w:rsidRDefault="001A466E" w:rsidP="001A466E">
      <w:pPr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>Проблема не може бути розв’язана за допомогою діючого акту,  так як він  приймався  тільки  на  2019  рік</w:t>
      </w:r>
      <w:r>
        <w:rPr>
          <w:sz w:val="24"/>
          <w:szCs w:val="24"/>
          <w:lang w:val="uk-UA"/>
        </w:rPr>
        <w:t>. Тому</w:t>
      </w:r>
      <w:r w:rsidRPr="00B41EB4">
        <w:rPr>
          <w:sz w:val="24"/>
          <w:szCs w:val="24"/>
          <w:lang w:val="uk-UA"/>
        </w:rPr>
        <w:t xml:space="preserve"> потребує</w:t>
      </w:r>
      <w:r>
        <w:rPr>
          <w:sz w:val="24"/>
          <w:szCs w:val="24"/>
          <w:lang w:val="uk-UA"/>
        </w:rPr>
        <w:t>ться</w:t>
      </w:r>
      <w:r w:rsidRPr="00B41EB4">
        <w:rPr>
          <w:sz w:val="24"/>
          <w:szCs w:val="24"/>
          <w:lang w:val="uk-UA"/>
        </w:rPr>
        <w:t xml:space="preserve"> встанов</w:t>
      </w:r>
      <w:r>
        <w:rPr>
          <w:sz w:val="24"/>
          <w:szCs w:val="24"/>
          <w:lang w:val="uk-UA"/>
        </w:rPr>
        <w:t>ити</w:t>
      </w:r>
      <w:r w:rsidRPr="00B41EB4">
        <w:rPr>
          <w:sz w:val="24"/>
          <w:szCs w:val="24"/>
          <w:lang w:val="uk-UA"/>
        </w:rPr>
        <w:t xml:space="preserve"> став</w:t>
      </w:r>
      <w:r>
        <w:rPr>
          <w:sz w:val="24"/>
          <w:szCs w:val="24"/>
          <w:lang w:val="uk-UA"/>
        </w:rPr>
        <w:t>ки</w:t>
      </w:r>
      <w:r w:rsidRPr="00B41EB4">
        <w:rPr>
          <w:sz w:val="24"/>
          <w:szCs w:val="24"/>
          <w:lang w:val="uk-UA"/>
        </w:rPr>
        <w:t xml:space="preserve"> туристичного збору на наступний </w:t>
      </w:r>
      <w:r>
        <w:rPr>
          <w:sz w:val="24"/>
          <w:szCs w:val="24"/>
          <w:lang w:val="uk-UA"/>
        </w:rPr>
        <w:t xml:space="preserve">2020 </w:t>
      </w:r>
      <w:r w:rsidRPr="00B41EB4">
        <w:rPr>
          <w:sz w:val="24"/>
          <w:szCs w:val="24"/>
          <w:lang w:val="uk-UA"/>
        </w:rPr>
        <w:t xml:space="preserve">рік. Кодекс чітко регламентує необхідність встановлення міською радою місцевих податків і зборів,  розмір  їх  ставок  до  початку  наступного  бюджетного  періоду. </w:t>
      </w:r>
    </w:p>
    <w:p w:rsidR="001A466E" w:rsidRPr="00B41EB4" w:rsidRDefault="001A466E" w:rsidP="001A466E">
      <w:pPr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 xml:space="preserve">Кодексом зобов’язано копію ухваленого рішення про встановлення місцевих податків чи зборів або про внесення змін до них надіслати в електронному вигляді у десятиденний строк з дня ухвалення до контролюючого органу, у якому  перебувають  на  обліку  платники  відповідних  місцевих  податків  та зборів, але не пізніше 01 липня року, що передує бюджетному періоду, у якому планується застосовування встановлюваних місцевих податків і зборів або  змін  до  них  і  офіційне  оприлюднення  щодо  встановлення  місцевих податків та зборів до                 15 липня року, що передує бюджетному періоду, в якому планується їх застосування. </w:t>
      </w:r>
    </w:p>
    <w:p w:rsidR="001A466E" w:rsidRPr="00B41EB4" w:rsidRDefault="001A466E" w:rsidP="001A466E">
      <w:pPr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>Кожен податок є важливою складовою доходів бюджету, оскільки забезпечує внесок у його наповнення. Стабільність надходжень,  що  формують  загальний  фонд  бюджету  міста,  дозволяє забезпечити безперебійну життєдіяльність міста в різних сферах, своєчасну виплату заробітної плати працівникам бюджетних установ та провести всі інші соціально важливі видатки, отримати всім мешканцям міста суспільні послуги  в  тій  чи  іншій  сфері,  якими  опікуються  органи  місцевого самоврядування.</w:t>
      </w:r>
    </w:p>
    <w:p w:rsidR="001A466E" w:rsidRPr="00B41EB4" w:rsidRDefault="001A466E" w:rsidP="001A466E">
      <w:pPr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</w:p>
    <w:p w:rsidR="001A466E" w:rsidRPr="00476C7A" w:rsidRDefault="001A466E" w:rsidP="001A466E">
      <w:pPr>
        <w:rPr>
          <w:sz w:val="24"/>
          <w:szCs w:val="24"/>
        </w:rPr>
      </w:pPr>
      <w:r w:rsidRPr="00476C7A">
        <w:rPr>
          <w:sz w:val="24"/>
          <w:szCs w:val="24"/>
        </w:rPr>
        <w:t>Визначення основних груп (підгруп), на які проблема справляє вплив:</w:t>
      </w:r>
    </w:p>
    <w:p w:rsidR="001A466E" w:rsidRPr="00476C7A" w:rsidRDefault="001A466E" w:rsidP="001A466E">
      <w:pPr>
        <w:rPr>
          <w:sz w:val="24"/>
          <w:szCs w:val="24"/>
        </w:rPr>
      </w:pPr>
      <w:r w:rsidRPr="00476C7A">
        <w:rPr>
          <w:sz w:val="24"/>
          <w:szCs w:val="24"/>
        </w:rPr>
        <w:t> </w:t>
      </w:r>
    </w:p>
    <w:tbl>
      <w:tblPr>
        <w:tblW w:w="4931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64"/>
        <w:gridCol w:w="6034"/>
        <w:gridCol w:w="957"/>
      </w:tblGrid>
      <w:tr w:rsidR="001A466E" w:rsidRPr="00476C7A" w:rsidTr="005934B2">
        <w:trPr>
          <w:tblCellSpacing w:w="0" w:type="dxa"/>
        </w:trPr>
        <w:tc>
          <w:tcPr>
            <w:tcW w:w="12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6E" w:rsidRPr="00476C7A" w:rsidRDefault="001A466E" w:rsidP="005934B2">
            <w:pPr>
              <w:jc w:val="center"/>
              <w:rPr>
                <w:sz w:val="24"/>
                <w:szCs w:val="24"/>
              </w:rPr>
            </w:pPr>
            <w:r w:rsidRPr="00476C7A">
              <w:rPr>
                <w:sz w:val="24"/>
                <w:szCs w:val="24"/>
              </w:rPr>
              <w:t>Групи (підгрупи)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6E" w:rsidRPr="00476C7A" w:rsidRDefault="001A466E" w:rsidP="005934B2">
            <w:pPr>
              <w:jc w:val="center"/>
              <w:rPr>
                <w:sz w:val="24"/>
                <w:szCs w:val="24"/>
              </w:rPr>
            </w:pPr>
            <w:r w:rsidRPr="00476C7A">
              <w:rPr>
                <w:sz w:val="24"/>
                <w:szCs w:val="24"/>
              </w:rPr>
              <w:t>Так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466E" w:rsidRPr="00476C7A" w:rsidRDefault="001A466E" w:rsidP="005934B2">
            <w:pPr>
              <w:jc w:val="center"/>
              <w:rPr>
                <w:sz w:val="24"/>
                <w:szCs w:val="24"/>
              </w:rPr>
            </w:pPr>
            <w:r w:rsidRPr="00476C7A">
              <w:rPr>
                <w:sz w:val="24"/>
                <w:szCs w:val="24"/>
              </w:rPr>
              <w:t>Ні</w:t>
            </w:r>
          </w:p>
        </w:tc>
      </w:tr>
      <w:tr w:rsidR="001A466E" w:rsidRPr="00476C7A" w:rsidTr="005934B2">
        <w:trPr>
          <w:tblCellSpacing w:w="0" w:type="dxa"/>
        </w:trPr>
        <w:tc>
          <w:tcPr>
            <w:tcW w:w="12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6E" w:rsidRPr="00476C7A" w:rsidRDefault="001A466E" w:rsidP="005934B2">
            <w:pPr>
              <w:rPr>
                <w:sz w:val="24"/>
                <w:szCs w:val="24"/>
              </w:rPr>
            </w:pPr>
            <w:r w:rsidRPr="00476C7A">
              <w:rPr>
                <w:sz w:val="24"/>
                <w:szCs w:val="24"/>
              </w:rPr>
              <w:t>Громадяни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6E" w:rsidRPr="00476C7A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 w:rsidRPr="00476C7A">
              <w:rPr>
                <w:sz w:val="24"/>
                <w:szCs w:val="24"/>
              </w:rPr>
              <w:t>Впливає на всіх членів територіальної громади, які мають впевненість у можливості забезпечення фінансування соціально важливих міських програм за рахунок отриманих надходжень місцевих податків і зборів</w:t>
            </w:r>
            <w:r w:rsidRPr="00476C7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466E" w:rsidRPr="00476C7A" w:rsidRDefault="001A466E" w:rsidP="005934B2">
            <w:pPr>
              <w:rPr>
                <w:sz w:val="24"/>
                <w:szCs w:val="24"/>
              </w:rPr>
            </w:pPr>
            <w:r w:rsidRPr="00476C7A">
              <w:rPr>
                <w:sz w:val="24"/>
                <w:szCs w:val="24"/>
              </w:rPr>
              <w:t> -</w:t>
            </w:r>
          </w:p>
        </w:tc>
      </w:tr>
      <w:tr w:rsidR="001A466E" w:rsidRPr="00476C7A" w:rsidTr="005934B2">
        <w:trPr>
          <w:tblCellSpacing w:w="0" w:type="dxa"/>
        </w:trPr>
        <w:tc>
          <w:tcPr>
            <w:tcW w:w="12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6E" w:rsidRPr="00476C7A" w:rsidRDefault="001A466E" w:rsidP="005934B2">
            <w:pPr>
              <w:rPr>
                <w:sz w:val="24"/>
                <w:szCs w:val="24"/>
              </w:rPr>
            </w:pPr>
            <w:r w:rsidRPr="00476C7A">
              <w:rPr>
                <w:sz w:val="24"/>
                <w:szCs w:val="24"/>
              </w:rPr>
              <w:t>Держава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6E" w:rsidRPr="00476C7A" w:rsidRDefault="001A466E" w:rsidP="005934B2">
            <w:pPr>
              <w:jc w:val="center"/>
              <w:rPr>
                <w:sz w:val="24"/>
                <w:szCs w:val="24"/>
              </w:rPr>
            </w:pPr>
            <w:r w:rsidRPr="00476C7A">
              <w:rPr>
                <w:sz w:val="24"/>
                <w:szCs w:val="24"/>
              </w:rPr>
              <w:t>До повноважень органів місцевого самоврядування віднесено право встановлювати ставки місцевих податків і зборів. Від запропонованого регулювання прогнозується надходження коштів від сплати місцевих податків і зборів для направлення їх на фінансування соціально важливих міських програм в галузях охорони здоров’я, соціального захисту, житлово-комунального та дорожнього господарства, тощо.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466E" w:rsidRPr="00476C7A" w:rsidRDefault="001A466E" w:rsidP="005934B2">
            <w:pPr>
              <w:rPr>
                <w:sz w:val="24"/>
                <w:szCs w:val="24"/>
              </w:rPr>
            </w:pPr>
            <w:r w:rsidRPr="00476C7A">
              <w:rPr>
                <w:sz w:val="24"/>
                <w:szCs w:val="24"/>
              </w:rPr>
              <w:t> -</w:t>
            </w:r>
          </w:p>
        </w:tc>
      </w:tr>
      <w:tr w:rsidR="001A466E" w:rsidRPr="00476C7A" w:rsidTr="005934B2">
        <w:trPr>
          <w:tblCellSpacing w:w="0" w:type="dxa"/>
        </w:trPr>
        <w:tc>
          <w:tcPr>
            <w:tcW w:w="12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6E" w:rsidRPr="00476C7A" w:rsidRDefault="001A466E" w:rsidP="005934B2">
            <w:pPr>
              <w:rPr>
                <w:sz w:val="24"/>
                <w:szCs w:val="24"/>
              </w:rPr>
            </w:pPr>
            <w:r w:rsidRPr="00476C7A">
              <w:rPr>
                <w:sz w:val="24"/>
                <w:szCs w:val="24"/>
              </w:rPr>
              <w:lastRenderedPageBreak/>
              <w:t>Суб’єкти господарювання,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6E" w:rsidRPr="00476C7A" w:rsidRDefault="001A466E" w:rsidP="005934B2">
            <w:pPr>
              <w:jc w:val="both"/>
              <w:rPr>
                <w:sz w:val="24"/>
                <w:szCs w:val="24"/>
              </w:rPr>
            </w:pPr>
            <w:r w:rsidRPr="00476C7A">
              <w:rPr>
                <w:sz w:val="24"/>
                <w:szCs w:val="24"/>
              </w:rPr>
              <w:t>Проектом рішення передбачено врегулювання правовідносин між органами</w:t>
            </w:r>
            <w:r w:rsidRPr="00476C7A">
              <w:rPr>
                <w:sz w:val="24"/>
                <w:szCs w:val="24"/>
                <w:lang w:val="uk-UA"/>
              </w:rPr>
              <w:t xml:space="preserve"> місцевого самоврядування</w:t>
            </w:r>
            <w:r w:rsidRPr="00476C7A">
              <w:rPr>
                <w:sz w:val="24"/>
                <w:szCs w:val="24"/>
              </w:rPr>
              <w:t>, суб’єктами господарювання – податковими агентами,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76C7A">
              <w:rPr>
                <w:sz w:val="24"/>
                <w:szCs w:val="24"/>
              </w:rPr>
              <w:t>користувачами послуг проживання</w:t>
            </w:r>
            <w:r w:rsidRPr="00476C7A">
              <w:rPr>
                <w:sz w:val="24"/>
                <w:szCs w:val="24"/>
                <w:lang w:val="uk-UA"/>
              </w:rPr>
              <w:t xml:space="preserve"> </w:t>
            </w:r>
            <w:r w:rsidRPr="00476C7A">
              <w:rPr>
                <w:sz w:val="24"/>
                <w:szCs w:val="24"/>
              </w:rPr>
              <w:t xml:space="preserve">(ночівлі) стосовно стягнення </w:t>
            </w:r>
            <w:r>
              <w:rPr>
                <w:sz w:val="24"/>
                <w:szCs w:val="24"/>
                <w:lang w:val="uk-UA"/>
              </w:rPr>
              <w:t xml:space="preserve">туристичного </w:t>
            </w:r>
            <w:r w:rsidRPr="00476C7A">
              <w:rPr>
                <w:sz w:val="24"/>
                <w:szCs w:val="24"/>
              </w:rPr>
              <w:t>збору, що</w:t>
            </w:r>
            <w:r w:rsidRPr="00476C7A">
              <w:rPr>
                <w:sz w:val="24"/>
                <w:szCs w:val="24"/>
                <w:lang w:val="uk-UA"/>
              </w:rPr>
              <w:t xml:space="preserve"> </w:t>
            </w:r>
            <w:r w:rsidRPr="00476C7A">
              <w:rPr>
                <w:sz w:val="24"/>
                <w:szCs w:val="24"/>
              </w:rPr>
              <w:t>забезпечує порядок його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76C7A">
              <w:rPr>
                <w:sz w:val="24"/>
                <w:szCs w:val="24"/>
              </w:rPr>
              <w:t>адміністрування та виконання норм</w:t>
            </w:r>
            <w:r w:rsidRPr="00476C7A">
              <w:rPr>
                <w:sz w:val="24"/>
                <w:szCs w:val="24"/>
                <w:lang w:val="uk-UA"/>
              </w:rPr>
              <w:t xml:space="preserve"> </w:t>
            </w:r>
            <w:r w:rsidRPr="00476C7A">
              <w:rPr>
                <w:sz w:val="24"/>
                <w:szCs w:val="24"/>
              </w:rPr>
              <w:t>Кодексу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466E" w:rsidRPr="00476C7A" w:rsidRDefault="001A466E" w:rsidP="005934B2">
            <w:pPr>
              <w:rPr>
                <w:sz w:val="24"/>
                <w:szCs w:val="24"/>
              </w:rPr>
            </w:pPr>
            <w:r w:rsidRPr="00476C7A">
              <w:rPr>
                <w:sz w:val="24"/>
                <w:szCs w:val="24"/>
              </w:rPr>
              <w:t> -</w:t>
            </w:r>
          </w:p>
          <w:p w:rsidR="001A466E" w:rsidRPr="00476C7A" w:rsidRDefault="001A466E" w:rsidP="005934B2">
            <w:pPr>
              <w:rPr>
                <w:sz w:val="24"/>
                <w:szCs w:val="24"/>
              </w:rPr>
            </w:pPr>
            <w:r w:rsidRPr="00476C7A">
              <w:rPr>
                <w:sz w:val="24"/>
                <w:szCs w:val="24"/>
              </w:rPr>
              <w:t> </w:t>
            </w:r>
          </w:p>
        </w:tc>
      </w:tr>
    </w:tbl>
    <w:p w:rsidR="001A466E" w:rsidRPr="00476C7A" w:rsidRDefault="001A466E" w:rsidP="001A466E">
      <w:pPr>
        <w:ind w:firstLine="708"/>
        <w:jc w:val="both"/>
        <w:rPr>
          <w:sz w:val="24"/>
          <w:szCs w:val="24"/>
          <w:lang w:val="uk-UA"/>
        </w:rPr>
      </w:pPr>
    </w:p>
    <w:p w:rsidR="001A466E" w:rsidRPr="00476C7A" w:rsidRDefault="001A466E" w:rsidP="001A466E">
      <w:pPr>
        <w:rPr>
          <w:sz w:val="24"/>
          <w:szCs w:val="24"/>
        </w:rPr>
      </w:pPr>
      <w:r w:rsidRPr="00476C7A">
        <w:rPr>
          <w:b/>
          <w:bCs/>
          <w:sz w:val="24"/>
          <w:szCs w:val="24"/>
        </w:rPr>
        <w:t>ІІ. Визначення цілей державного регулювання:</w:t>
      </w:r>
    </w:p>
    <w:p w:rsidR="001A466E" w:rsidRPr="00476C7A" w:rsidRDefault="001A466E" w:rsidP="001A466E">
      <w:pPr>
        <w:ind w:firstLine="708"/>
        <w:jc w:val="both"/>
        <w:rPr>
          <w:sz w:val="24"/>
          <w:szCs w:val="24"/>
          <w:lang w:val="uk-UA"/>
        </w:rPr>
      </w:pPr>
    </w:p>
    <w:p w:rsidR="001A466E" w:rsidRPr="00476C7A" w:rsidRDefault="001A466E" w:rsidP="001A466E">
      <w:pPr>
        <w:ind w:firstLine="708"/>
        <w:jc w:val="both"/>
        <w:rPr>
          <w:sz w:val="24"/>
          <w:szCs w:val="24"/>
          <w:lang w:val="uk-UA"/>
        </w:rPr>
      </w:pPr>
      <w:r w:rsidRPr="00476C7A">
        <w:rPr>
          <w:sz w:val="24"/>
          <w:szCs w:val="24"/>
          <w:lang w:val="uk-UA"/>
        </w:rPr>
        <w:t>Проект  регуляторного  акта  спрямований  на  розв’язання  проблеми, визначеної в попередньому розділі АРВ в цілому, основними цілями його прийняття є:</w:t>
      </w:r>
    </w:p>
    <w:p w:rsidR="001A466E" w:rsidRPr="00476C7A" w:rsidRDefault="001A466E" w:rsidP="001A466E">
      <w:pPr>
        <w:jc w:val="both"/>
        <w:rPr>
          <w:sz w:val="24"/>
          <w:szCs w:val="24"/>
          <w:lang w:val="uk-UA"/>
        </w:rPr>
      </w:pPr>
      <w:r w:rsidRPr="00476C7A">
        <w:rPr>
          <w:sz w:val="24"/>
          <w:szCs w:val="24"/>
          <w:lang w:val="uk-UA"/>
        </w:rPr>
        <w:t>- встановлення оптимальних  розмірів ставок туристичного збору,  який справля</w:t>
      </w:r>
      <w:r>
        <w:rPr>
          <w:sz w:val="24"/>
          <w:szCs w:val="24"/>
          <w:lang w:val="uk-UA"/>
        </w:rPr>
        <w:t>тиме</w:t>
      </w:r>
      <w:r w:rsidRPr="00476C7A">
        <w:rPr>
          <w:sz w:val="24"/>
          <w:szCs w:val="24"/>
          <w:lang w:val="uk-UA"/>
        </w:rPr>
        <w:t xml:space="preserve">ться </w:t>
      </w:r>
      <w:r>
        <w:rPr>
          <w:sz w:val="24"/>
          <w:szCs w:val="24"/>
          <w:lang w:val="uk-UA"/>
        </w:rPr>
        <w:t>в</w:t>
      </w:r>
      <w:r w:rsidRPr="00476C7A">
        <w:rPr>
          <w:sz w:val="24"/>
          <w:szCs w:val="24"/>
          <w:lang w:val="uk-UA"/>
        </w:rPr>
        <w:t xml:space="preserve"> міст</w:t>
      </w:r>
      <w:r>
        <w:rPr>
          <w:sz w:val="24"/>
          <w:szCs w:val="24"/>
          <w:lang w:val="uk-UA"/>
        </w:rPr>
        <w:t>і</w:t>
      </w:r>
      <w:r w:rsidRPr="00476C7A">
        <w:rPr>
          <w:sz w:val="24"/>
          <w:szCs w:val="24"/>
          <w:lang w:val="uk-UA"/>
        </w:rPr>
        <w:t xml:space="preserve"> Южноукраїнськ</w:t>
      </w:r>
      <w:r>
        <w:rPr>
          <w:sz w:val="24"/>
          <w:szCs w:val="24"/>
          <w:lang w:val="uk-UA"/>
        </w:rPr>
        <w:t>у</w:t>
      </w:r>
      <w:r w:rsidRPr="00476C7A">
        <w:rPr>
          <w:sz w:val="24"/>
          <w:szCs w:val="24"/>
          <w:lang w:val="uk-UA"/>
        </w:rPr>
        <w:t>;</w:t>
      </w:r>
    </w:p>
    <w:p w:rsidR="001A466E" w:rsidRPr="00476C7A" w:rsidRDefault="001A466E" w:rsidP="001A466E">
      <w:pPr>
        <w:jc w:val="both"/>
        <w:rPr>
          <w:sz w:val="24"/>
          <w:szCs w:val="24"/>
          <w:lang w:val="uk-UA"/>
        </w:rPr>
      </w:pPr>
      <w:r w:rsidRPr="00476C7A">
        <w:rPr>
          <w:sz w:val="24"/>
          <w:szCs w:val="24"/>
          <w:lang w:val="uk-UA"/>
        </w:rPr>
        <w:t xml:space="preserve">-   забезпечення стабільних надходжень до місцевого бюджету; </w:t>
      </w:r>
    </w:p>
    <w:p w:rsidR="001A466E" w:rsidRPr="00476C7A" w:rsidRDefault="001A466E" w:rsidP="001A466E">
      <w:pPr>
        <w:jc w:val="both"/>
        <w:rPr>
          <w:sz w:val="24"/>
          <w:szCs w:val="24"/>
          <w:lang w:val="uk-UA"/>
        </w:rPr>
      </w:pPr>
      <w:r w:rsidRPr="00476C7A">
        <w:rPr>
          <w:sz w:val="24"/>
          <w:szCs w:val="24"/>
          <w:lang w:val="uk-UA"/>
        </w:rPr>
        <w:t>- виконання місцевих програм, вирішення загальноміських проблем;</w:t>
      </w:r>
    </w:p>
    <w:p w:rsidR="001A466E" w:rsidRPr="00476C7A" w:rsidRDefault="001A466E" w:rsidP="001A466E">
      <w:pPr>
        <w:jc w:val="both"/>
        <w:rPr>
          <w:sz w:val="24"/>
          <w:szCs w:val="24"/>
          <w:lang w:val="uk-UA"/>
        </w:rPr>
      </w:pPr>
      <w:r w:rsidRPr="00476C7A">
        <w:rPr>
          <w:sz w:val="24"/>
          <w:szCs w:val="24"/>
          <w:lang w:val="uk-UA"/>
        </w:rPr>
        <w:t xml:space="preserve">-  </w:t>
      </w:r>
      <w:r>
        <w:rPr>
          <w:rStyle w:val="2"/>
          <w:sz w:val="24"/>
          <w:szCs w:val="24"/>
          <w:lang w:val="uk-UA"/>
        </w:rPr>
        <w:t>в</w:t>
      </w:r>
      <w:r w:rsidRPr="00487337">
        <w:rPr>
          <w:rStyle w:val="2"/>
          <w:sz w:val="24"/>
          <w:szCs w:val="24"/>
          <w:lang w:val="uk-UA"/>
        </w:rPr>
        <w:t xml:space="preserve">регулювання правовідносин між </w:t>
      </w:r>
      <w:r>
        <w:rPr>
          <w:rStyle w:val="2"/>
          <w:sz w:val="24"/>
          <w:szCs w:val="24"/>
          <w:lang w:val="uk-UA"/>
        </w:rPr>
        <w:t xml:space="preserve">Южноукраїнською </w:t>
      </w:r>
      <w:r w:rsidRPr="00487337">
        <w:rPr>
          <w:rStyle w:val="2"/>
          <w:sz w:val="24"/>
          <w:szCs w:val="24"/>
          <w:lang w:val="uk-UA"/>
        </w:rPr>
        <w:t>міською радо</w:t>
      </w:r>
      <w:r>
        <w:rPr>
          <w:rStyle w:val="2"/>
          <w:sz w:val="24"/>
          <w:szCs w:val="24"/>
          <w:lang w:val="uk-UA"/>
        </w:rPr>
        <w:t>ю та суб’єктами оподаткування в процесі нарахування та сплати туристичного збору</w:t>
      </w:r>
      <w:r w:rsidRPr="00476C7A">
        <w:rPr>
          <w:sz w:val="24"/>
          <w:szCs w:val="24"/>
          <w:lang w:val="uk-UA"/>
        </w:rPr>
        <w:t>.</w:t>
      </w:r>
    </w:p>
    <w:p w:rsidR="001A466E" w:rsidRPr="00B41EB4" w:rsidRDefault="001A466E" w:rsidP="001A466E">
      <w:pPr>
        <w:jc w:val="both"/>
        <w:rPr>
          <w:sz w:val="24"/>
          <w:szCs w:val="24"/>
          <w:lang w:val="uk-UA"/>
        </w:rPr>
      </w:pPr>
    </w:p>
    <w:p w:rsidR="001A466E" w:rsidRPr="00B41EB4" w:rsidRDefault="001A466E" w:rsidP="001A466E">
      <w:pPr>
        <w:rPr>
          <w:color w:val="333333"/>
          <w:sz w:val="24"/>
          <w:szCs w:val="24"/>
        </w:rPr>
      </w:pPr>
      <w:r w:rsidRPr="00B41EB4">
        <w:rPr>
          <w:b/>
          <w:bCs/>
          <w:color w:val="333333"/>
          <w:sz w:val="24"/>
          <w:szCs w:val="24"/>
        </w:rPr>
        <w:t>ІІІ. Визначення та оцінка всіх прийнятих альтернативних способів досягнення зазначених цілей</w:t>
      </w:r>
    </w:p>
    <w:p w:rsidR="001A466E" w:rsidRPr="00B41EB4" w:rsidRDefault="001A466E" w:rsidP="001A466E">
      <w:pPr>
        <w:rPr>
          <w:color w:val="333333"/>
          <w:sz w:val="24"/>
          <w:szCs w:val="24"/>
          <w:lang w:val="uk-UA"/>
        </w:rPr>
      </w:pPr>
      <w:r w:rsidRPr="00B41EB4">
        <w:rPr>
          <w:color w:val="333333"/>
          <w:sz w:val="24"/>
          <w:szCs w:val="24"/>
        </w:rPr>
        <w:t> </w:t>
      </w:r>
    </w:p>
    <w:p w:rsidR="001A466E" w:rsidRPr="00B41EB4" w:rsidRDefault="001A466E" w:rsidP="001A466E">
      <w:pPr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>1.Під час розробки проекту регуляторного акта було розглянуто такі альтернативні способи досягнення визначених цілей:</w:t>
      </w:r>
    </w:p>
    <w:p w:rsidR="001A466E" w:rsidRPr="00B41EB4" w:rsidRDefault="001A466E" w:rsidP="001A466E">
      <w:pPr>
        <w:jc w:val="both"/>
        <w:rPr>
          <w:sz w:val="24"/>
          <w:szCs w:val="24"/>
          <w:lang w:val="uk-UA"/>
        </w:rPr>
      </w:pPr>
    </w:p>
    <w:tbl>
      <w:tblPr>
        <w:tblW w:w="4984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20"/>
        <w:gridCol w:w="6035"/>
      </w:tblGrid>
      <w:tr w:rsidR="001A466E" w:rsidRPr="00B41EB4" w:rsidTr="005934B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6E" w:rsidRPr="007D491B" w:rsidRDefault="001A466E" w:rsidP="005934B2">
            <w:pPr>
              <w:jc w:val="center"/>
              <w:rPr>
                <w:sz w:val="24"/>
                <w:szCs w:val="24"/>
              </w:rPr>
            </w:pPr>
            <w:r w:rsidRPr="007D491B">
              <w:rPr>
                <w:sz w:val="24"/>
                <w:szCs w:val="24"/>
              </w:rPr>
              <w:t> Вид альтернативи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466E" w:rsidRPr="007D491B" w:rsidRDefault="001A466E" w:rsidP="005934B2">
            <w:pPr>
              <w:jc w:val="center"/>
              <w:rPr>
                <w:sz w:val="24"/>
                <w:szCs w:val="24"/>
              </w:rPr>
            </w:pPr>
            <w:r w:rsidRPr="007D491B">
              <w:rPr>
                <w:sz w:val="24"/>
                <w:szCs w:val="24"/>
              </w:rPr>
              <w:t>Опис альтернативи</w:t>
            </w:r>
          </w:p>
        </w:tc>
      </w:tr>
      <w:tr w:rsidR="001A466E" w:rsidRPr="00B41EB4" w:rsidTr="005934B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6E" w:rsidRPr="007D491B" w:rsidRDefault="001A466E" w:rsidP="005934B2">
            <w:pPr>
              <w:rPr>
                <w:sz w:val="24"/>
                <w:szCs w:val="24"/>
                <w:lang w:val="uk-UA"/>
              </w:rPr>
            </w:pPr>
            <w:r w:rsidRPr="007D491B">
              <w:rPr>
                <w:sz w:val="24"/>
                <w:szCs w:val="24"/>
              </w:rPr>
              <w:t>Альтернатива 1</w:t>
            </w:r>
          </w:p>
          <w:p w:rsidR="001A466E" w:rsidRPr="007D491B" w:rsidRDefault="001A466E" w:rsidP="005934B2">
            <w:pPr>
              <w:rPr>
                <w:sz w:val="24"/>
                <w:szCs w:val="24"/>
                <w:lang w:val="uk-UA"/>
              </w:rPr>
            </w:pPr>
            <w:r w:rsidRPr="007D491B">
              <w:rPr>
                <w:sz w:val="24"/>
                <w:szCs w:val="24"/>
                <w:lang w:val="uk-UA"/>
              </w:rPr>
              <w:t xml:space="preserve">Неприйняття регуляторного </w:t>
            </w:r>
          </w:p>
          <w:p w:rsidR="001A466E" w:rsidRPr="007D491B" w:rsidRDefault="001A466E" w:rsidP="005934B2">
            <w:pPr>
              <w:rPr>
                <w:sz w:val="24"/>
                <w:szCs w:val="24"/>
                <w:lang w:val="uk-UA"/>
              </w:rPr>
            </w:pPr>
            <w:r w:rsidRPr="007D491B">
              <w:rPr>
                <w:sz w:val="24"/>
                <w:szCs w:val="24"/>
                <w:lang w:val="uk-UA"/>
              </w:rPr>
              <w:t xml:space="preserve">акта (відмова від </w:t>
            </w:r>
          </w:p>
          <w:p w:rsidR="001A466E" w:rsidRPr="007D491B" w:rsidRDefault="001A466E" w:rsidP="005934B2">
            <w:pPr>
              <w:rPr>
                <w:sz w:val="24"/>
                <w:szCs w:val="24"/>
                <w:lang w:val="uk-UA"/>
              </w:rPr>
            </w:pPr>
            <w:r w:rsidRPr="007D491B">
              <w:rPr>
                <w:sz w:val="24"/>
                <w:szCs w:val="24"/>
                <w:lang w:val="uk-UA"/>
              </w:rPr>
              <w:t>регулювання)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466E" w:rsidRPr="007D491B" w:rsidRDefault="001A466E" w:rsidP="005934B2">
            <w:pPr>
              <w:jc w:val="both"/>
              <w:rPr>
                <w:sz w:val="24"/>
                <w:szCs w:val="24"/>
              </w:rPr>
            </w:pPr>
            <w:r w:rsidRPr="007D491B">
              <w:rPr>
                <w:sz w:val="24"/>
                <w:szCs w:val="24"/>
              </w:rPr>
              <w:t>По  закінченню  2019  року</w:t>
            </w:r>
            <w:r w:rsidRPr="007D491B">
              <w:rPr>
                <w:sz w:val="24"/>
                <w:szCs w:val="24"/>
                <w:lang w:val="uk-UA"/>
              </w:rPr>
              <w:t>,</w:t>
            </w:r>
            <w:r w:rsidRPr="007D491B">
              <w:rPr>
                <w:sz w:val="24"/>
                <w:szCs w:val="24"/>
              </w:rPr>
              <w:t xml:space="preserve">  діюче  на  території</w:t>
            </w:r>
            <w:r w:rsidRPr="007D491B">
              <w:rPr>
                <w:sz w:val="24"/>
                <w:szCs w:val="24"/>
                <w:lang w:val="uk-UA"/>
              </w:rPr>
              <w:t xml:space="preserve"> міста Южноукраїнськ </w:t>
            </w:r>
            <w:r w:rsidRPr="007D491B">
              <w:rPr>
                <w:sz w:val="24"/>
                <w:szCs w:val="24"/>
              </w:rPr>
              <w:t>рішення</w:t>
            </w:r>
            <w:r w:rsidRPr="007D491B">
              <w:rPr>
                <w:sz w:val="24"/>
                <w:szCs w:val="24"/>
                <w:lang w:val="uk-UA"/>
              </w:rPr>
              <w:t xml:space="preserve"> </w:t>
            </w:r>
            <w:r w:rsidRPr="007D491B">
              <w:rPr>
                <w:sz w:val="24"/>
                <w:szCs w:val="24"/>
              </w:rPr>
              <w:t xml:space="preserve">про  встановлення  </w:t>
            </w:r>
            <w:r w:rsidRPr="007D491B">
              <w:rPr>
                <w:sz w:val="24"/>
                <w:szCs w:val="24"/>
                <w:lang w:val="uk-UA"/>
              </w:rPr>
              <w:t xml:space="preserve">туристичного збору </w:t>
            </w:r>
            <w:r w:rsidRPr="007D491B">
              <w:rPr>
                <w:sz w:val="24"/>
                <w:szCs w:val="24"/>
              </w:rPr>
              <w:t>має  бути</w:t>
            </w:r>
            <w:r w:rsidRPr="007D491B">
              <w:rPr>
                <w:sz w:val="24"/>
                <w:szCs w:val="24"/>
                <w:lang w:val="uk-UA"/>
              </w:rPr>
              <w:t xml:space="preserve"> </w:t>
            </w:r>
            <w:r w:rsidRPr="007D491B">
              <w:rPr>
                <w:sz w:val="24"/>
                <w:szCs w:val="24"/>
              </w:rPr>
              <w:t>скасовано</w:t>
            </w:r>
            <w:r w:rsidRPr="007D491B">
              <w:rPr>
                <w:sz w:val="24"/>
                <w:szCs w:val="24"/>
                <w:lang w:val="uk-UA"/>
              </w:rPr>
              <w:t>,</w:t>
            </w:r>
            <w:r w:rsidRPr="007D491B">
              <w:rPr>
                <w:sz w:val="24"/>
                <w:szCs w:val="24"/>
              </w:rPr>
              <w:t xml:space="preserve">  </w:t>
            </w:r>
            <w:r w:rsidRPr="007D491B">
              <w:rPr>
                <w:sz w:val="24"/>
                <w:szCs w:val="24"/>
                <w:lang w:val="uk-UA"/>
              </w:rPr>
              <w:t>у зв’язку з закінченням терміну дії. Необхідність прийняття регуляторного акта зумовлена наявністю на території міста 12 суб’єктів господарської діяльності, котрі займаються готельним бізнесом( 1 – велике підприємство та 11- ФОП).</w:t>
            </w:r>
            <w:r w:rsidRPr="007D491B">
              <w:rPr>
                <w:sz w:val="24"/>
                <w:szCs w:val="24"/>
              </w:rPr>
              <w:t xml:space="preserve"> У разі невстановлення відповідних ставок, місцевий</w:t>
            </w:r>
            <w:r w:rsidRPr="007D491B">
              <w:rPr>
                <w:sz w:val="24"/>
                <w:szCs w:val="24"/>
                <w:lang w:val="uk-UA"/>
              </w:rPr>
              <w:t xml:space="preserve"> </w:t>
            </w:r>
            <w:r w:rsidRPr="007D491B">
              <w:rPr>
                <w:sz w:val="24"/>
                <w:szCs w:val="24"/>
              </w:rPr>
              <w:t xml:space="preserve">бюджет  втратить  надходження  </w:t>
            </w:r>
            <w:r w:rsidRPr="007D491B">
              <w:rPr>
                <w:sz w:val="24"/>
                <w:szCs w:val="24"/>
                <w:lang w:val="uk-UA"/>
              </w:rPr>
              <w:t xml:space="preserve">туристичного збору </w:t>
            </w:r>
            <w:r w:rsidRPr="007D491B">
              <w:rPr>
                <w:sz w:val="24"/>
                <w:szCs w:val="24"/>
              </w:rPr>
              <w:t>у</w:t>
            </w:r>
            <w:r w:rsidRPr="007D491B">
              <w:rPr>
                <w:sz w:val="24"/>
                <w:szCs w:val="24"/>
                <w:lang w:val="uk-UA"/>
              </w:rPr>
              <w:t xml:space="preserve"> </w:t>
            </w:r>
            <w:r w:rsidRPr="007D491B">
              <w:rPr>
                <w:sz w:val="24"/>
                <w:szCs w:val="24"/>
              </w:rPr>
              <w:t>зв’язку з відсутністю мінімальної ставки</w:t>
            </w:r>
            <w:r w:rsidRPr="007D491B">
              <w:rPr>
                <w:sz w:val="24"/>
                <w:szCs w:val="24"/>
                <w:lang w:val="uk-UA"/>
              </w:rPr>
              <w:t xml:space="preserve"> та затвердженого переліку податкових агентів щодо сплати туристичного збору в місті Южноукраїнську</w:t>
            </w:r>
            <w:r w:rsidRPr="007D491B">
              <w:rPr>
                <w:sz w:val="24"/>
                <w:szCs w:val="24"/>
              </w:rPr>
              <w:t>. Такі втрати</w:t>
            </w:r>
            <w:r w:rsidRPr="007D491B">
              <w:rPr>
                <w:sz w:val="24"/>
                <w:szCs w:val="24"/>
                <w:lang w:val="uk-UA"/>
              </w:rPr>
              <w:t xml:space="preserve"> </w:t>
            </w:r>
            <w:r w:rsidRPr="007D491B">
              <w:rPr>
                <w:sz w:val="24"/>
                <w:szCs w:val="24"/>
              </w:rPr>
              <w:t xml:space="preserve">складуть прогнозно </w:t>
            </w:r>
            <w:r w:rsidRPr="007D491B">
              <w:rPr>
                <w:sz w:val="24"/>
                <w:szCs w:val="24"/>
                <w:lang w:val="uk-UA"/>
              </w:rPr>
              <w:t xml:space="preserve">30,0  </w:t>
            </w:r>
            <w:r w:rsidRPr="007D491B">
              <w:rPr>
                <w:sz w:val="24"/>
                <w:szCs w:val="24"/>
              </w:rPr>
              <w:t xml:space="preserve">тис. грн. Негативний вплив буде завдано </w:t>
            </w:r>
            <w:r w:rsidRPr="007D491B">
              <w:rPr>
                <w:sz w:val="24"/>
                <w:szCs w:val="24"/>
                <w:lang w:val="uk-UA"/>
              </w:rPr>
              <w:t xml:space="preserve">Южноукраїнській </w:t>
            </w:r>
            <w:r w:rsidRPr="007D491B">
              <w:rPr>
                <w:sz w:val="24"/>
                <w:szCs w:val="24"/>
              </w:rPr>
              <w:t>територіальній  громаді,  оскільки  відсутність</w:t>
            </w:r>
            <w:r w:rsidRPr="007D491B">
              <w:rPr>
                <w:sz w:val="24"/>
                <w:szCs w:val="24"/>
                <w:lang w:val="uk-UA"/>
              </w:rPr>
              <w:t xml:space="preserve"> </w:t>
            </w:r>
            <w:r w:rsidRPr="007D491B">
              <w:rPr>
                <w:sz w:val="24"/>
                <w:szCs w:val="24"/>
              </w:rPr>
              <w:t>надходжень  до  бюджету  ставить  під  загрозу</w:t>
            </w:r>
            <w:r w:rsidRPr="007D491B">
              <w:rPr>
                <w:sz w:val="24"/>
                <w:szCs w:val="24"/>
                <w:lang w:val="uk-UA"/>
              </w:rPr>
              <w:t xml:space="preserve"> </w:t>
            </w:r>
            <w:r w:rsidRPr="007D491B">
              <w:rPr>
                <w:sz w:val="24"/>
                <w:szCs w:val="24"/>
              </w:rPr>
              <w:t>виконання місцевих програм.</w:t>
            </w:r>
          </w:p>
        </w:tc>
      </w:tr>
      <w:tr w:rsidR="001A466E" w:rsidRPr="00B41EB4" w:rsidTr="005934B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6E" w:rsidRPr="007D491B" w:rsidRDefault="001A466E" w:rsidP="005934B2">
            <w:pPr>
              <w:rPr>
                <w:sz w:val="24"/>
                <w:szCs w:val="24"/>
                <w:lang w:val="uk-UA"/>
              </w:rPr>
            </w:pPr>
            <w:r w:rsidRPr="007D491B">
              <w:rPr>
                <w:sz w:val="24"/>
                <w:szCs w:val="24"/>
              </w:rPr>
              <w:t>Альтернатива 2</w:t>
            </w:r>
          </w:p>
          <w:p w:rsidR="001A466E" w:rsidRPr="007D491B" w:rsidRDefault="001A466E" w:rsidP="005934B2">
            <w:pPr>
              <w:rPr>
                <w:sz w:val="24"/>
                <w:szCs w:val="24"/>
                <w:lang w:val="uk-UA"/>
              </w:rPr>
            </w:pPr>
            <w:r w:rsidRPr="007D491B">
              <w:rPr>
                <w:sz w:val="24"/>
                <w:szCs w:val="24"/>
                <w:lang w:val="uk-UA"/>
              </w:rPr>
              <w:t>Прийняття  запропонованого</w:t>
            </w:r>
          </w:p>
          <w:p w:rsidR="001A466E" w:rsidRPr="007D491B" w:rsidRDefault="001A466E" w:rsidP="005934B2">
            <w:pPr>
              <w:rPr>
                <w:sz w:val="24"/>
                <w:szCs w:val="24"/>
                <w:lang w:val="uk-UA"/>
              </w:rPr>
            </w:pPr>
            <w:r w:rsidRPr="007D491B">
              <w:rPr>
                <w:sz w:val="24"/>
                <w:szCs w:val="24"/>
                <w:lang w:val="uk-UA"/>
              </w:rPr>
              <w:t>регуляторного акта</w:t>
            </w:r>
          </w:p>
          <w:p w:rsidR="001A466E" w:rsidRPr="007D491B" w:rsidRDefault="001A466E" w:rsidP="005934B2">
            <w:pPr>
              <w:rPr>
                <w:sz w:val="24"/>
                <w:szCs w:val="24"/>
                <w:lang w:val="uk-UA"/>
              </w:rPr>
            </w:pPr>
            <w:r w:rsidRPr="007D491B">
              <w:rPr>
                <w:sz w:val="24"/>
                <w:szCs w:val="24"/>
                <w:lang w:val="uk-UA"/>
              </w:rPr>
              <w:t xml:space="preserve">(Встановлення  </w:t>
            </w:r>
            <w:r w:rsidRPr="007D491B">
              <w:rPr>
                <w:sz w:val="24"/>
                <w:szCs w:val="24"/>
                <w:shd w:val="clear" w:color="auto" w:fill="FFFFFF"/>
                <w:lang w:val="uk-UA"/>
              </w:rPr>
              <w:t xml:space="preserve">0,2 відсотка - для внутрішнього туризму та для в’їзного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 </w:t>
            </w:r>
            <w:r w:rsidRPr="007D491B">
              <w:rPr>
                <w:sz w:val="24"/>
                <w:szCs w:val="24"/>
                <w:lang w:val="uk-UA"/>
              </w:rPr>
              <w:t xml:space="preserve">( </w:t>
            </w:r>
            <w:r w:rsidRPr="007D491B">
              <w:rPr>
                <w:sz w:val="24"/>
                <w:szCs w:val="24"/>
                <w:lang w:val="uk-UA"/>
              </w:rPr>
              <w:lastRenderedPageBreak/>
              <w:t xml:space="preserve">розмір ставки </w:t>
            </w:r>
          </w:p>
          <w:p w:rsidR="001A466E" w:rsidRPr="007D491B" w:rsidRDefault="001A466E" w:rsidP="005934B2">
            <w:pPr>
              <w:rPr>
                <w:sz w:val="24"/>
                <w:szCs w:val="24"/>
                <w:lang w:val="uk-UA"/>
              </w:rPr>
            </w:pPr>
            <w:r w:rsidRPr="007D491B">
              <w:rPr>
                <w:sz w:val="24"/>
                <w:szCs w:val="24"/>
                <w:lang w:val="uk-UA"/>
              </w:rPr>
              <w:t>у  відсотковому  виразі</w:t>
            </w:r>
          </w:p>
          <w:p w:rsidR="001A466E" w:rsidRPr="007D491B" w:rsidRDefault="001A466E" w:rsidP="005934B2">
            <w:pPr>
              <w:rPr>
                <w:sz w:val="24"/>
                <w:szCs w:val="24"/>
                <w:lang w:val="uk-UA"/>
              </w:rPr>
            </w:pPr>
            <w:r w:rsidRPr="007D491B">
              <w:rPr>
                <w:sz w:val="24"/>
                <w:szCs w:val="24"/>
                <w:lang w:val="uk-UA"/>
              </w:rPr>
              <w:t>залишається  незмінним</w:t>
            </w:r>
          </w:p>
          <w:p w:rsidR="001A466E" w:rsidRPr="007D491B" w:rsidRDefault="001A466E" w:rsidP="005934B2">
            <w:pPr>
              <w:rPr>
                <w:sz w:val="24"/>
                <w:szCs w:val="24"/>
                <w:lang w:val="uk-UA"/>
              </w:rPr>
            </w:pPr>
            <w:r w:rsidRPr="007D491B">
              <w:rPr>
                <w:sz w:val="24"/>
                <w:szCs w:val="24"/>
                <w:lang w:val="uk-UA"/>
              </w:rPr>
              <w:t>та пропонується на рівні  2019 року)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466E" w:rsidRPr="007D491B" w:rsidRDefault="001A466E" w:rsidP="005934B2">
            <w:pPr>
              <w:rPr>
                <w:sz w:val="24"/>
                <w:szCs w:val="24"/>
                <w:lang w:val="uk-UA"/>
              </w:rPr>
            </w:pPr>
            <w:r w:rsidRPr="007D491B">
              <w:rPr>
                <w:sz w:val="24"/>
                <w:szCs w:val="24"/>
                <w:lang w:val="uk-UA"/>
              </w:rPr>
              <w:lastRenderedPageBreak/>
              <w:t>Забезпечення досягнення цілей державного</w:t>
            </w:r>
          </w:p>
          <w:p w:rsidR="001A466E" w:rsidRPr="007D491B" w:rsidRDefault="001A466E" w:rsidP="005934B2">
            <w:pPr>
              <w:rPr>
                <w:sz w:val="24"/>
                <w:szCs w:val="24"/>
                <w:lang w:val="uk-UA"/>
              </w:rPr>
            </w:pPr>
            <w:r w:rsidRPr="007D491B">
              <w:rPr>
                <w:sz w:val="24"/>
                <w:szCs w:val="24"/>
                <w:lang w:val="uk-UA"/>
              </w:rPr>
              <w:t>регулювання.</w:t>
            </w:r>
          </w:p>
          <w:p w:rsidR="001A466E" w:rsidRPr="007D491B" w:rsidRDefault="001A466E" w:rsidP="005934B2">
            <w:pPr>
              <w:rPr>
                <w:sz w:val="24"/>
                <w:szCs w:val="24"/>
                <w:lang w:val="uk-UA"/>
              </w:rPr>
            </w:pPr>
            <w:r w:rsidRPr="007D491B">
              <w:rPr>
                <w:sz w:val="24"/>
                <w:szCs w:val="24"/>
                <w:lang w:val="uk-UA"/>
              </w:rPr>
              <w:t>Врахування пропозиції громадських спілок та організацій підприємців щодо залишення ставок туристичного збору на рівні 2019 року.</w:t>
            </w:r>
          </w:p>
          <w:p w:rsidR="001A466E" w:rsidRPr="007D491B" w:rsidRDefault="001A466E" w:rsidP="005934B2">
            <w:pPr>
              <w:rPr>
                <w:sz w:val="24"/>
                <w:szCs w:val="24"/>
              </w:rPr>
            </w:pPr>
            <w:r w:rsidRPr="007D491B">
              <w:rPr>
                <w:sz w:val="24"/>
                <w:szCs w:val="24"/>
                <w:lang w:val="uk-UA"/>
              </w:rPr>
              <w:t>Очкувані н</w:t>
            </w:r>
            <w:r w:rsidRPr="007D491B">
              <w:rPr>
                <w:sz w:val="24"/>
                <w:szCs w:val="24"/>
              </w:rPr>
              <w:t>адходження до</w:t>
            </w:r>
            <w:r w:rsidRPr="007D491B">
              <w:rPr>
                <w:sz w:val="24"/>
                <w:szCs w:val="24"/>
                <w:lang w:val="uk-UA"/>
              </w:rPr>
              <w:t xml:space="preserve"> м</w:t>
            </w:r>
            <w:r w:rsidRPr="007D491B">
              <w:rPr>
                <w:sz w:val="24"/>
                <w:szCs w:val="24"/>
              </w:rPr>
              <w:t>іс</w:t>
            </w:r>
            <w:r w:rsidRPr="007D491B">
              <w:rPr>
                <w:sz w:val="24"/>
                <w:szCs w:val="24"/>
                <w:lang w:val="uk-UA"/>
              </w:rPr>
              <w:t xml:space="preserve">ького </w:t>
            </w:r>
            <w:r w:rsidRPr="007D491B">
              <w:rPr>
                <w:sz w:val="24"/>
                <w:szCs w:val="24"/>
              </w:rPr>
              <w:t xml:space="preserve">  бюджету  у сумі </w:t>
            </w:r>
            <w:r w:rsidRPr="007D491B">
              <w:rPr>
                <w:sz w:val="24"/>
                <w:szCs w:val="24"/>
                <w:lang w:val="uk-UA"/>
              </w:rPr>
              <w:t>30,0 тис.</w:t>
            </w:r>
            <w:r w:rsidRPr="007D491B">
              <w:rPr>
                <w:sz w:val="24"/>
                <w:szCs w:val="24"/>
              </w:rPr>
              <w:t xml:space="preserve"> грн. без  погіршення  умов  для</w:t>
            </w:r>
            <w:r w:rsidRPr="007D491B">
              <w:rPr>
                <w:sz w:val="24"/>
                <w:szCs w:val="24"/>
                <w:lang w:val="uk-UA"/>
              </w:rPr>
              <w:t xml:space="preserve"> </w:t>
            </w:r>
            <w:r w:rsidRPr="007D491B">
              <w:rPr>
                <w:sz w:val="24"/>
                <w:szCs w:val="24"/>
              </w:rPr>
              <w:t>розвитку мікробізнесу.</w:t>
            </w:r>
          </w:p>
          <w:p w:rsidR="001A466E" w:rsidRPr="007D491B" w:rsidRDefault="001A466E" w:rsidP="005934B2">
            <w:pPr>
              <w:rPr>
                <w:sz w:val="24"/>
                <w:szCs w:val="24"/>
              </w:rPr>
            </w:pPr>
            <w:r w:rsidRPr="007D491B">
              <w:rPr>
                <w:sz w:val="24"/>
                <w:szCs w:val="24"/>
              </w:rPr>
              <w:t>Належне  фінансування  програм  соціально-економічного розвитку громади.</w:t>
            </w:r>
          </w:p>
        </w:tc>
      </w:tr>
    </w:tbl>
    <w:p w:rsidR="001A466E" w:rsidRPr="00B41EB4" w:rsidRDefault="001A466E" w:rsidP="001A466E">
      <w:pPr>
        <w:ind w:firstLine="708"/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lastRenderedPageBreak/>
        <w:t>При описі альтернатив використовувалися показники надходжень до бюджету від сплати туристичного збору. Ставка туристичного збору 0,2%</w:t>
      </w:r>
      <w:r w:rsidRPr="00B41EB4">
        <w:rPr>
          <w:color w:val="000000"/>
          <w:sz w:val="24"/>
          <w:szCs w:val="24"/>
          <w:shd w:val="clear" w:color="auto" w:fill="FFFFFF"/>
          <w:lang w:val="uk-UA"/>
        </w:rPr>
        <w:t xml:space="preserve"> від розміру мінімальної заробітної плати, встановленої законом на 1 січня звітного (податкового) року, для однієї особи за </w:t>
      </w:r>
      <w:r>
        <w:rPr>
          <w:color w:val="000000"/>
          <w:sz w:val="24"/>
          <w:szCs w:val="24"/>
          <w:shd w:val="clear" w:color="auto" w:fill="FFFFFF"/>
          <w:lang w:val="uk-UA"/>
        </w:rPr>
        <w:t>одну добу тимчасового розміщення</w:t>
      </w:r>
      <w:r w:rsidRPr="00B41EB4">
        <w:rPr>
          <w:sz w:val="24"/>
          <w:szCs w:val="24"/>
          <w:lang w:val="uk-UA"/>
        </w:rPr>
        <w:t xml:space="preserve"> –</w:t>
      </w:r>
      <w:r>
        <w:rPr>
          <w:sz w:val="24"/>
          <w:szCs w:val="24"/>
          <w:lang w:val="uk-UA"/>
        </w:rPr>
        <w:t xml:space="preserve">               </w:t>
      </w:r>
      <w:r w:rsidRPr="00B41EB4">
        <w:rPr>
          <w:sz w:val="24"/>
          <w:szCs w:val="24"/>
          <w:lang w:val="uk-UA"/>
        </w:rPr>
        <w:t>8,35 грн</w:t>
      </w:r>
      <w:r>
        <w:rPr>
          <w:sz w:val="24"/>
          <w:szCs w:val="24"/>
          <w:lang w:val="uk-UA"/>
        </w:rPr>
        <w:t>.</w:t>
      </w:r>
      <w:r w:rsidRPr="00B41EB4">
        <w:rPr>
          <w:sz w:val="24"/>
          <w:szCs w:val="24"/>
          <w:lang w:val="uk-UA"/>
        </w:rPr>
        <w:t xml:space="preserve"> за 1 день  у 2019 році та 8,81грн.  за 1 день </w:t>
      </w:r>
      <w:r w:rsidRPr="00B41EB4">
        <w:rPr>
          <w:sz w:val="24"/>
          <w:szCs w:val="24"/>
        </w:rPr>
        <w:t>на  2020  рік  (від  розміру  мінімальної  заробітної  плати,  встановленої  законом  на</w:t>
      </w:r>
      <w:r w:rsidRPr="00B41EB4">
        <w:rPr>
          <w:sz w:val="24"/>
          <w:szCs w:val="24"/>
          <w:lang w:val="uk-UA"/>
        </w:rPr>
        <w:t xml:space="preserve"> </w:t>
      </w:r>
      <w:r w:rsidRPr="00B41EB4">
        <w:rPr>
          <w:sz w:val="24"/>
          <w:szCs w:val="24"/>
        </w:rPr>
        <w:t>01.01.2019 – 4173 грн., прогнозна на 2020 рік – 4407 грн.).</w:t>
      </w:r>
    </w:p>
    <w:p w:rsidR="001A466E" w:rsidRPr="00B41EB4" w:rsidRDefault="001A466E" w:rsidP="001A466E">
      <w:pPr>
        <w:ind w:firstLine="708"/>
        <w:jc w:val="both"/>
        <w:rPr>
          <w:sz w:val="24"/>
          <w:szCs w:val="24"/>
          <w:lang w:val="uk-UA"/>
        </w:rPr>
      </w:pPr>
    </w:p>
    <w:p w:rsidR="001A466E" w:rsidRPr="00B41EB4" w:rsidRDefault="001A466E" w:rsidP="001A466E">
      <w:pPr>
        <w:jc w:val="center"/>
        <w:rPr>
          <w:color w:val="333333"/>
          <w:sz w:val="24"/>
          <w:szCs w:val="24"/>
        </w:rPr>
      </w:pPr>
      <w:r w:rsidRPr="00B41EB4">
        <w:rPr>
          <w:b/>
          <w:bCs/>
          <w:color w:val="333333"/>
          <w:sz w:val="24"/>
          <w:szCs w:val="24"/>
        </w:rPr>
        <w:t>2.Оцінка вибраних альтернативних способів досягнення цілей</w:t>
      </w:r>
    </w:p>
    <w:p w:rsidR="001A466E" w:rsidRPr="00B41EB4" w:rsidRDefault="001A466E" w:rsidP="001A466E">
      <w:pPr>
        <w:jc w:val="center"/>
        <w:rPr>
          <w:color w:val="333333"/>
          <w:sz w:val="24"/>
          <w:szCs w:val="24"/>
        </w:rPr>
      </w:pPr>
      <w:r w:rsidRPr="00B41EB4">
        <w:rPr>
          <w:b/>
          <w:bCs/>
          <w:color w:val="333333"/>
          <w:sz w:val="24"/>
          <w:szCs w:val="24"/>
        </w:rPr>
        <w:t> </w:t>
      </w:r>
    </w:p>
    <w:p w:rsidR="001A466E" w:rsidRPr="00B41EB4" w:rsidRDefault="001A466E" w:rsidP="001A466E">
      <w:pPr>
        <w:rPr>
          <w:color w:val="333333"/>
          <w:sz w:val="24"/>
          <w:szCs w:val="24"/>
        </w:rPr>
      </w:pPr>
      <w:r w:rsidRPr="00B41EB4">
        <w:rPr>
          <w:color w:val="333333"/>
          <w:sz w:val="24"/>
          <w:szCs w:val="24"/>
        </w:rPr>
        <w:t>     Оцінка впливу на орган місцевого самоврядування :</w:t>
      </w:r>
    </w:p>
    <w:p w:rsidR="001A466E" w:rsidRPr="00B41EB4" w:rsidRDefault="001A466E" w:rsidP="001A466E">
      <w:pPr>
        <w:ind w:firstLine="708"/>
        <w:jc w:val="both"/>
        <w:rPr>
          <w:sz w:val="24"/>
          <w:szCs w:val="24"/>
          <w:lang w:val="uk-UA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1"/>
        <w:gridCol w:w="3001"/>
        <w:gridCol w:w="3178"/>
      </w:tblGrid>
      <w:tr w:rsidR="001A466E" w:rsidRPr="00B41EB4" w:rsidTr="005934B2">
        <w:tc>
          <w:tcPr>
            <w:tcW w:w="3001" w:type="dxa"/>
            <w:vAlign w:val="center"/>
          </w:tcPr>
          <w:p w:rsidR="001A466E" w:rsidRPr="00B41EB4" w:rsidRDefault="001A466E" w:rsidP="005934B2">
            <w:pPr>
              <w:jc w:val="center"/>
              <w:rPr>
                <w:color w:val="333333"/>
                <w:sz w:val="24"/>
                <w:szCs w:val="24"/>
              </w:rPr>
            </w:pPr>
            <w:r w:rsidRPr="00B41EB4">
              <w:rPr>
                <w:color w:val="333333"/>
                <w:sz w:val="24"/>
                <w:szCs w:val="24"/>
              </w:rPr>
              <w:t>Вид альтернативи</w:t>
            </w:r>
          </w:p>
        </w:tc>
        <w:tc>
          <w:tcPr>
            <w:tcW w:w="3001" w:type="dxa"/>
            <w:vAlign w:val="center"/>
          </w:tcPr>
          <w:p w:rsidR="001A466E" w:rsidRPr="00B41EB4" w:rsidRDefault="001A466E" w:rsidP="005934B2">
            <w:pPr>
              <w:jc w:val="center"/>
              <w:rPr>
                <w:color w:val="333333"/>
                <w:sz w:val="24"/>
                <w:szCs w:val="24"/>
              </w:rPr>
            </w:pPr>
            <w:r w:rsidRPr="00B41EB4">
              <w:rPr>
                <w:color w:val="333333"/>
                <w:sz w:val="24"/>
                <w:szCs w:val="24"/>
              </w:rPr>
              <w:t>Вигоди</w:t>
            </w:r>
          </w:p>
        </w:tc>
        <w:tc>
          <w:tcPr>
            <w:tcW w:w="3178" w:type="dxa"/>
            <w:vAlign w:val="center"/>
          </w:tcPr>
          <w:p w:rsidR="001A466E" w:rsidRPr="00B41EB4" w:rsidRDefault="001A466E" w:rsidP="005934B2">
            <w:pPr>
              <w:jc w:val="center"/>
              <w:rPr>
                <w:color w:val="333333"/>
                <w:sz w:val="24"/>
                <w:szCs w:val="24"/>
              </w:rPr>
            </w:pPr>
            <w:r w:rsidRPr="00B41EB4">
              <w:rPr>
                <w:color w:val="333333"/>
                <w:sz w:val="24"/>
                <w:szCs w:val="24"/>
              </w:rPr>
              <w:t>Витрати</w:t>
            </w:r>
          </w:p>
        </w:tc>
      </w:tr>
      <w:tr w:rsidR="001A466E" w:rsidRPr="00B41EB4" w:rsidTr="005934B2">
        <w:tc>
          <w:tcPr>
            <w:tcW w:w="3001" w:type="dxa"/>
            <w:vAlign w:val="center"/>
          </w:tcPr>
          <w:p w:rsidR="001A466E" w:rsidRPr="00B41EB4" w:rsidRDefault="001A466E" w:rsidP="005934B2">
            <w:pPr>
              <w:rPr>
                <w:color w:val="333333"/>
                <w:sz w:val="24"/>
                <w:szCs w:val="24"/>
              </w:rPr>
            </w:pPr>
            <w:r w:rsidRPr="00B41EB4">
              <w:rPr>
                <w:color w:val="333333"/>
                <w:sz w:val="24"/>
                <w:szCs w:val="24"/>
              </w:rPr>
              <w:t>Альтернатива 1</w:t>
            </w:r>
          </w:p>
        </w:tc>
        <w:tc>
          <w:tcPr>
            <w:tcW w:w="3001" w:type="dxa"/>
          </w:tcPr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>Не передбачені</w:t>
            </w:r>
          </w:p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 xml:space="preserve"> Відсутні надходження до</w:t>
            </w:r>
          </w:p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B41EB4">
              <w:rPr>
                <w:sz w:val="24"/>
                <w:szCs w:val="24"/>
                <w:lang w:val="uk-UA"/>
              </w:rPr>
              <w:t>іського бюджету  від сплати туристичного збору</w:t>
            </w:r>
          </w:p>
        </w:tc>
        <w:tc>
          <w:tcPr>
            <w:tcW w:w="3178" w:type="dxa"/>
          </w:tcPr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>Відсутні надходження до</w:t>
            </w:r>
          </w:p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>міського  бюджету  від</w:t>
            </w:r>
          </w:p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>сплати туристичного збору в  результаті  чого</w:t>
            </w:r>
          </w:p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>міський  бюджет</w:t>
            </w:r>
          </w:p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 xml:space="preserve">недоотримає надходження у  сумі  </w:t>
            </w:r>
            <w:r>
              <w:rPr>
                <w:sz w:val="24"/>
                <w:szCs w:val="24"/>
                <w:lang w:val="uk-UA"/>
              </w:rPr>
              <w:t>30</w:t>
            </w:r>
            <w:r w:rsidRPr="00B41EB4">
              <w:rPr>
                <w:sz w:val="24"/>
                <w:szCs w:val="24"/>
                <w:lang w:val="uk-UA"/>
              </w:rPr>
              <w:t>,0 тис. грн.</w:t>
            </w:r>
          </w:p>
        </w:tc>
      </w:tr>
      <w:tr w:rsidR="001A466E" w:rsidRPr="00B41EB4" w:rsidTr="005934B2">
        <w:tc>
          <w:tcPr>
            <w:tcW w:w="3001" w:type="dxa"/>
            <w:vAlign w:val="center"/>
          </w:tcPr>
          <w:p w:rsidR="001A466E" w:rsidRPr="00B41EB4" w:rsidRDefault="001A466E" w:rsidP="005934B2">
            <w:pPr>
              <w:rPr>
                <w:color w:val="333333"/>
                <w:sz w:val="24"/>
                <w:szCs w:val="24"/>
              </w:rPr>
            </w:pPr>
            <w:r w:rsidRPr="00B41EB4">
              <w:rPr>
                <w:color w:val="333333"/>
                <w:sz w:val="24"/>
                <w:szCs w:val="24"/>
              </w:rPr>
              <w:t>Альтернатива 2</w:t>
            </w:r>
          </w:p>
        </w:tc>
        <w:tc>
          <w:tcPr>
            <w:tcW w:w="3001" w:type="dxa"/>
          </w:tcPr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 xml:space="preserve">Надходження до </w:t>
            </w:r>
          </w:p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 xml:space="preserve">міського бюджету у </w:t>
            </w:r>
          </w:p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>2020 році за фіксованою</w:t>
            </w:r>
          </w:p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 xml:space="preserve">ставкою з урахуванням </w:t>
            </w:r>
          </w:p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 xml:space="preserve">мінімальної заробітної </w:t>
            </w:r>
          </w:p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>плати. Прогноз надходжень туристичного збору на 2020 рік</w:t>
            </w:r>
          </w:p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30,0 </w:t>
            </w:r>
            <w:r w:rsidRPr="00B41EB4">
              <w:rPr>
                <w:sz w:val="24"/>
                <w:szCs w:val="24"/>
                <w:lang w:val="uk-UA"/>
              </w:rPr>
              <w:t xml:space="preserve">тис. грн., що </w:t>
            </w:r>
            <w:r>
              <w:rPr>
                <w:sz w:val="24"/>
                <w:szCs w:val="24"/>
                <w:lang w:val="uk-UA"/>
              </w:rPr>
              <w:t>у</w:t>
            </w:r>
            <w:r w:rsidRPr="00B41EB4">
              <w:rPr>
                <w:sz w:val="24"/>
                <w:szCs w:val="24"/>
                <w:lang w:val="uk-UA"/>
              </w:rPr>
              <w:t xml:space="preserve"> </w:t>
            </w:r>
          </w:p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2,3 рази</w:t>
            </w:r>
            <w:r w:rsidRPr="00B41EB4">
              <w:rPr>
                <w:sz w:val="24"/>
                <w:szCs w:val="24"/>
                <w:lang w:val="uk-UA"/>
              </w:rPr>
              <w:t xml:space="preserve"> більше надходжень 2018 року (12,8 тис.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41EB4">
              <w:rPr>
                <w:sz w:val="24"/>
                <w:szCs w:val="24"/>
                <w:lang w:val="uk-UA"/>
              </w:rPr>
              <w:t>грн.) в зв’язку з</w:t>
            </w:r>
            <w:r>
              <w:rPr>
                <w:sz w:val="24"/>
                <w:szCs w:val="24"/>
                <w:lang w:val="uk-UA"/>
              </w:rPr>
              <w:t>і</w:t>
            </w:r>
            <w:r w:rsidRPr="00B41EB4">
              <w:rPr>
                <w:sz w:val="24"/>
                <w:szCs w:val="24"/>
                <w:lang w:val="uk-UA"/>
              </w:rPr>
              <w:t xml:space="preserve"> зміною бази оподаткування</w:t>
            </w:r>
            <w:r>
              <w:rPr>
                <w:sz w:val="24"/>
                <w:szCs w:val="24"/>
                <w:lang w:val="uk-UA"/>
              </w:rPr>
              <w:t>, збільшенням розміру мінімальної заробітної плати та збільшенням кількості податкових агентів щодо сплати туристичного збору ( з 4 у 2018 році  до 12 – у 2020 році).</w:t>
            </w:r>
          </w:p>
        </w:tc>
        <w:tc>
          <w:tcPr>
            <w:tcW w:w="3178" w:type="dxa"/>
          </w:tcPr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 xml:space="preserve">Витрати часу, </w:t>
            </w:r>
          </w:p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 xml:space="preserve">матеріальних ресурсів </w:t>
            </w:r>
          </w:p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 xml:space="preserve">для фіскальних органів </w:t>
            </w:r>
          </w:p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 xml:space="preserve">на адміністрування </w:t>
            </w:r>
          </w:p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>туристичного збору.</w:t>
            </w:r>
          </w:p>
        </w:tc>
      </w:tr>
    </w:tbl>
    <w:p w:rsidR="001A466E" w:rsidRPr="00B41EB4" w:rsidRDefault="001A466E" w:rsidP="001A466E">
      <w:pPr>
        <w:rPr>
          <w:color w:val="333333"/>
          <w:sz w:val="24"/>
          <w:szCs w:val="24"/>
          <w:lang w:val="uk-UA"/>
        </w:rPr>
      </w:pPr>
    </w:p>
    <w:p w:rsidR="001A466E" w:rsidRPr="00520256" w:rsidRDefault="001A466E" w:rsidP="001A466E">
      <w:pPr>
        <w:rPr>
          <w:sz w:val="24"/>
          <w:szCs w:val="24"/>
        </w:rPr>
      </w:pPr>
      <w:r w:rsidRPr="00520256">
        <w:rPr>
          <w:sz w:val="24"/>
          <w:szCs w:val="24"/>
        </w:rPr>
        <w:t>Оцінка впливу на сферу інтересів громадян :</w:t>
      </w:r>
    </w:p>
    <w:p w:rsidR="001A466E" w:rsidRPr="00520256" w:rsidRDefault="001A466E" w:rsidP="001A466E">
      <w:pPr>
        <w:ind w:firstLine="708"/>
        <w:jc w:val="both"/>
        <w:rPr>
          <w:sz w:val="24"/>
          <w:szCs w:val="24"/>
          <w:lang w:val="uk-UA"/>
        </w:rPr>
      </w:pPr>
    </w:p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1"/>
        <w:gridCol w:w="3001"/>
        <w:gridCol w:w="3320"/>
      </w:tblGrid>
      <w:tr w:rsidR="001A466E" w:rsidRPr="00520256" w:rsidTr="005934B2">
        <w:tc>
          <w:tcPr>
            <w:tcW w:w="3001" w:type="dxa"/>
            <w:vAlign w:val="center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Вид альтернативи</w:t>
            </w:r>
          </w:p>
        </w:tc>
        <w:tc>
          <w:tcPr>
            <w:tcW w:w="3001" w:type="dxa"/>
            <w:vAlign w:val="center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Вигоди</w:t>
            </w:r>
          </w:p>
        </w:tc>
        <w:tc>
          <w:tcPr>
            <w:tcW w:w="3320" w:type="dxa"/>
            <w:vAlign w:val="center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Витрати</w:t>
            </w:r>
          </w:p>
        </w:tc>
      </w:tr>
      <w:tr w:rsidR="001A466E" w:rsidRPr="00520256" w:rsidTr="005934B2">
        <w:tc>
          <w:tcPr>
            <w:tcW w:w="3001" w:type="dxa"/>
            <w:vAlign w:val="center"/>
          </w:tcPr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Альтернатива 1</w:t>
            </w:r>
          </w:p>
        </w:tc>
        <w:tc>
          <w:tcPr>
            <w:tcW w:w="3001" w:type="dxa"/>
            <w:vAlign w:val="center"/>
          </w:tcPr>
          <w:p w:rsidR="001A466E" w:rsidRPr="00520256" w:rsidRDefault="001A466E" w:rsidP="005934B2">
            <w:pPr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 xml:space="preserve">Відсутні </w:t>
            </w:r>
          </w:p>
        </w:tc>
        <w:tc>
          <w:tcPr>
            <w:tcW w:w="3320" w:type="dxa"/>
            <w:vAlign w:val="center"/>
          </w:tcPr>
          <w:p w:rsidR="001A466E" w:rsidRPr="00520256" w:rsidRDefault="001A466E" w:rsidP="005934B2">
            <w:pPr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 xml:space="preserve">Прогнозовано міський </w:t>
            </w:r>
          </w:p>
          <w:p w:rsidR="001A466E" w:rsidRPr="00520256" w:rsidRDefault="001A466E" w:rsidP="005934B2">
            <w:pPr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 xml:space="preserve">бюджет втратить кошти 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lastRenderedPageBreak/>
              <w:t xml:space="preserve">у сумі 30,0 тис.грн. </w:t>
            </w:r>
          </w:p>
          <w:p w:rsidR="001A466E" w:rsidRPr="00520256" w:rsidRDefault="001A466E" w:rsidP="005934B2">
            <w:pPr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Територіальна громада міста Южноукраїнська не</w:t>
            </w:r>
          </w:p>
          <w:p w:rsidR="001A466E" w:rsidRPr="00520256" w:rsidRDefault="001A466E" w:rsidP="005934B2">
            <w:pPr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 xml:space="preserve">отримає належного </w:t>
            </w:r>
          </w:p>
          <w:p w:rsidR="001A466E" w:rsidRPr="00520256" w:rsidRDefault="001A466E" w:rsidP="005934B2">
            <w:pPr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 xml:space="preserve">фінансування програм </w:t>
            </w:r>
          </w:p>
          <w:p w:rsidR="001A466E" w:rsidRPr="00520256" w:rsidRDefault="001A466E" w:rsidP="005934B2">
            <w:pPr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 xml:space="preserve">соціально-економічного </w:t>
            </w:r>
          </w:p>
          <w:p w:rsidR="001A466E" w:rsidRPr="00520256" w:rsidRDefault="001A466E" w:rsidP="005934B2">
            <w:pPr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розвитку.</w:t>
            </w:r>
          </w:p>
        </w:tc>
      </w:tr>
      <w:tr w:rsidR="001A466E" w:rsidRPr="00520256" w:rsidTr="005934B2">
        <w:tc>
          <w:tcPr>
            <w:tcW w:w="3001" w:type="dxa"/>
            <w:vAlign w:val="center"/>
          </w:tcPr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lastRenderedPageBreak/>
              <w:t>Альтернатива 2</w:t>
            </w:r>
          </w:p>
        </w:tc>
        <w:tc>
          <w:tcPr>
            <w:tcW w:w="3001" w:type="dxa"/>
          </w:tcPr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 Надходження, пов'язані</w:t>
            </w:r>
          </w:p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 xml:space="preserve">зі сплатою </w:t>
            </w:r>
            <w:r w:rsidRPr="00520256">
              <w:rPr>
                <w:sz w:val="24"/>
                <w:szCs w:val="24"/>
                <w:lang w:val="uk-UA"/>
              </w:rPr>
              <w:t xml:space="preserve">туристичного збору </w:t>
            </w:r>
            <w:r w:rsidRPr="00520256">
              <w:rPr>
                <w:sz w:val="24"/>
                <w:szCs w:val="24"/>
              </w:rPr>
              <w:t>до міс</w:t>
            </w:r>
            <w:r w:rsidRPr="00520256">
              <w:rPr>
                <w:sz w:val="24"/>
                <w:szCs w:val="24"/>
                <w:lang w:val="uk-UA"/>
              </w:rPr>
              <w:t>ьк</w:t>
            </w:r>
            <w:r w:rsidRPr="00520256">
              <w:rPr>
                <w:sz w:val="24"/>
                <w:szCs w:val="24"/>
              </w:rPr>
              <w:t xml:space="preserve">ого бюджету на прогнозованому рівні 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  <w:lang w:val="uk-UA"/>
              </w:rPr>
              <w:t xml:space="preserve">30,0 </w:t>
            </w:r>
            <w:r w:rsidRPr="00520256">
              <w:rPr>
                <w:sz w:val="24"/>
                <w:szCs w:val="24"/>
              </w:rPr>
              <w:t xml:space="preserve">тис. грн. </w:t>
            </w:r>
          </w:p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 xml:space="preserve">спрямовуються  на </w:t>
            </w:r>
          </w:p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  <w:lang w:val="uk-UA"/>
              </w:rPr>
              <w:t xml:space="preserve">реалізацію міських </w:t>
            </w:r>
            <w:r w:rsidRPr="00520256">
              <w:rPr>
                <w:sz w:val="24"/>
                <w:szCs w:val="24"/>
              </w:rPr>
              <w:t>програм.</w:t>
            </w:r>
          </w:p>
        </w:tc>
        <w:tc>
          <w:tcPr>
            <w:tcW w:w="3320" w:type="dxa"/>
          </w:tcPr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Не справляє вплив на гро-</w:t>
            </w:r>
          </w:p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мадян міста, оскільки вони</w:t>
            </w:r>
          </w:p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не є платниками збору</w:t>
            </w:r>
          </w:p>
        </w:tc>
      </w:tr>
    </w:tbl>
    <w:p w:rsidR="001A466E" w:rsidRPr="00B41EB4" w:rsidRDefault="001A466E" w:rsidP="001A466E">
      <w:pPr>
        <w:ind w:firstLine="708"/>
        <w:jc w:val="both"/>
        <w:rPr>
          <w:sz w:val="24"/>
          <w:szCs w:val="24"/>
          <w:lang w:val="uk-UA"/>
        </w:rPr>
      </w:pPr>
    </w:p>
    <w:p w:rsidR="001A466E" w:rsidRPr="00520256" w:rsidRDefault="001A466E" w:rsidP="001A466E">
      <w:pPr>
        <w:jc w:val="center"/>
        <w:rPr>
          <w:sz w:val="24"/>
          <w:szCs w:val="24"/>
          <w:lang w:val="uk-UA"/>
        </w:rPr>
      </w:pPr>
      <w:r w:rsidRPr="00520256">
        <w:rPr>
          <w:sz w:val="24"/>
          <w:szCs w:val="24"/>
        </w:rPr>
        <w:t>Оцінка впливу на сферу інтересів суб’єктів господарювання</w:t>
      </w:r>
    </w:p>
    <w:p w:rsidR="001A466E" w:rsidRPr="00520256" w:rsidRDefault="001A466E" w:rsidP="001A466E">
      <w:pPr>
        <w:jc w:val="center"/>
        <w:rPr>
          <w:sz w:val="24"/>
          <w:szCs w:val="24"/>
          <w:lang w:val="uk-UA"/>
        </w:rPr>
      </w:pPr>
    </w:p>
    <w:tbl>
      <w:tblPr>
        <w:tblW w:w="5236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90"/>
        <w:gridCol w:w="1156"/>
        <w:gridCol w:w="1157"/>
        <w:gridCol w:w="1411"/>
        <w:gridCol w:w="1157"/>
        <w:gridCol w:w="1157"/>
      </w:tblGrid>
      <w:tr w:rsidR="001A466E" w:rsidRPr="00520256" w:rsidTr="005934B2">
        <w:trPr>
          <w:trHeight w:val="370"/>
          <w:tblCellSpacing w:w="0" w:type="dxa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Показник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Великі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Середні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Малі підприємства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Мікро та ФОП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</w:tcBorders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Разом</w:t>
            </w:r>
          </w:p>
        </w:tc>
      </w:tr>
      <w:tr w:rsidR="001A466E" w:rsidRPr="00520256" w:rsidTr="005934B2">
        <w:trPr>
          <w:trHeight w:val="816"/>
          <w:tblCellSpacing w:w="0" w:type="dxa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 xml:space="preserve">Кількість суб’єктів господарювання, що підпадають під дію регулювання </w:t>
            </w:r>
            <w:r w:rsidRPr="00520256">
              <w:rPr>
                <w:sz w:val="24"/>
                <w:szCs w:val="24"/>
                <w:lang w:val="uk-UA"/>
              </w:rPr>
              <w:t>станом на 01.01.2019</w:t>
            </w:r>
            <w:r w:rsidRPr="00520256">
              <w:rPr>
                <w:sz w:val="24"/>
                <w:szCs w:val="24"/>
              </w:rPr>
              <w:t>, одиниць</w:t>
            </w:r>
          </w:p>
        </w:tc>
        <w:tc>
          <w:tcPr>
            <w:tcW w:w="610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10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610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610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610" w:type="pct"/>
            <w:tcBorders>
              <w:left w:val="outset" w:sz="6" w:space="0" w:color="auto"/>
            </w:tcBorders>
            <w:vAlign w:val="center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</w:tr>
      <w:tr w:rsidR="001A466E" w:rsidRPr="00520256" w:rsidTr="005934B2">
        <w:trPr>
          <w:trHeight w:val="388"/>
          <w:tblCellSpacing w:w="0" w:type="dxa"/>
        </w:trPr>
        <w:tc>
          <w:tcPr>
            <w:tcW w:w="1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Питома вага групи у загальній кількості, відсотків</w:t>
            </w:r>
          </w:p>
        </w:tc>
        <w:tc>
          <w:tcPr>
            <w:tcW w:w="61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0,12%</w:t>
            </w:r>
          </w:p>
        </w:tc>
        <w:tc>
          <w:tcPr>
            <w:tcW w:w="61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61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61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99,88%</w:t>
            </w:r>
          </w:p>
        </w:tc>
        <w:tc>
          <w:tcPr>
            <w:tcW w:w="610" w:type="pct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100%</w:t>
            </w:r>
          </w:p>
        </w:tc>
      </w:tr>
    </w:tbl>
    <w:p w:rsidR="001A466E" w:rsidRPr="00520256" w:rsidRDefault="001A466E" w:rsidP="001A466E">
      <w:pPr>
        <w:ind w:firstLine="708"/>
        <w:jc w:val="both"/>
        <w:rPr>
          <w:sz w:val="24"/>
          <w:szCs w:val="24"/>
          <w:lang w:val="uk-UA"/>
        </w:rPr>
      </w:pPr>
    </w:p>
    <w:tbl>
      <w:tblPr>
        <w:tblW w:w="5200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92"/>
        <w:gridCol w:w="3586"/>
        <w:gridCol w:w="4382"/>
      </w:tblGrid>
      <w:tr w:rsidR="001A466E" w:rsidRPr="00520256" w:rsidTr="005934B2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Вид альтернативи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Вигоди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Витрати</w:t>
            </w:r>
          </w:p>
        </w:tc>
      </w:tr>
      <w:tr w:rsidR="001A466E" w:rsidRPr="00520256" w:rsidTr="005934B2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6E" w:rsidRPr="00520256" w:rsidRDefault="001A466E" w:rsidP="005934B2">
            <w:pPr>
              <w:jc w:val="both"/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Альтернатива 1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466E" w:rsidRPr="00520256" w:rsidRDefault="001A466E" w:rsidP="005934B2">
            <w:pPr>
              <w:jc w:val="both"/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  <w:lang w:val="uk-UA"/>
              </w:rPr>
              <w:t xml:space="preserve">Відсутні витрати по сплаті туристичного збору, в  результаті  чого міський  бюджет недоотримає надходження у  сумі  </w:t>
            </w:r>
            <w:r>
              <w:rPr>
                <w:sz w:val="24"/>
                <w:szCs w:val="24"/>
                <w:lang w:val="uk-UA"/>
              </w:rPr>
              <w:t>30</w:t>
            </w:r>
            <w:r w:rsidRPr="00520256">
              <w:rPr>
                <w:sz w:val="24"/>
                <w:szCs w:val="24"/>
                <w:lang w:val="uk-UA"/>
              </w:rPr>
              <w:t>,0 тис. грн.</w:t>
            </w:r>
          </w:p>
        </w:tc>
      </w:tr>
      <w:tr w:rsidR="001A466E" w:rsidRPr="00520256" w:rsidTr="005934B2">
        <w:trPr>
          <w:trHeight w:val="2191"/>
          <w:tblCellSpacing w:w="0" w:type="dxa"/>
        </w:trPr>
        <w:tc>
          <w:tcPr>
            <w:tcW w:w="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Альтернатива 2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 xml:space="preserve">Встановлення </w:t>
            </w:r>
            <w:r w:rsidRPr="00520256">
              <w:rPr>
                <w:sz w:val="24"/>
                <w:szCs w:val="24"/>
                <w:lang w:val="uk-UA"/>
              </w:rPr>
              <w:t xml:space="preserve">ставок туристичного збору на рівні ставок, що діяли в 2019 році. </w:t>
            </w:r>
          </w:p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Прозорий механізм справляння туристичного</w:t>
            </w:r>
            <w:r w:rsidRPr="00520256">
              <w:rPr>
                <w:sz w:val="24"/>
                <w:szCs w:val="24"/>
                <w:lang w:val="uk-UA"/>
              </w:rPr>
              <w:t xml:space="preserve"> збору</w:t>
            </w:r>
            <w:r w:rsidRPr="00520256">
              <w:rPr>
                <w:sz w:val="24"/>
                <w:szCs w:val="24"/>
              </w:rPr>
              <w:t xml:space="preserve">. </w:t>
            </w:r>
          </w:p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Бюджет отримає додаткові надходження у</w:t>
            </w:r>
            <w:r w:rsidRPr="00520256">
              <w:rPr>
                <w:sz w:val="24"/>
                <w:szCs w:val="24"/>
                <w:lang w:val="uk-UA"/>
              </w:rPr>
              <w:t xml:space="preserve"> </w:t>
            </w:r>
            <w:r w:rsidRPr="00520256">
              <w:rPr>
                <w:sz w:val="24"/>
                <w:szCs w:val="24"/>
              </w:rPr>
              <w:t xml:space="preserve">сумі </w:t>
            </w:r>
            <w:r w:rsidRPr="0052025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30</w:t>
            </w:r>
            <w:r w:rsidRPr="00520256">
              <w:rPr>
                <w:sz w:val="24"/>
                <w:szCs w:val="24"/>
                <w:lang w:val="uk-UA"/>
              </w:rPr>
              <w:t xml:space="preserve">,0 </w:t>
            </w:r>
            <w:r w:rsidRPr="00520256">
              <w:rPr>
                <w:sz w:val="24"/>
                <w:szCs w:val="24"/>
              </w:rPr>
              <w:t>тис.грн</w:t>
            </w:r>
            <w:r w:rsidRPr="0052025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</w:rPr>
              <w:t xml:space="preserve">Сплата </w:t>
            </w:r>
            <w:r w:rsidRPr="00520256">
              <w:rPr>
                <w:sz w:val="24"/>
                <w:szCs w:val="24"/>
                <w:lang w:val="uk-UA"/>
              </w:rPr>
              <w:t xml:space="preserve">туристичного збору за ставкою </w:t>
            </w:r>
            <w:r w:rsidRPr="00520256">
              <w:rPr>
                <w:sz w:val="24"/>
                <w:szCs w:val="24"/>
                <w:shd w:val="clear" w:color="auto" w:fill="FFFFFF"/>
                <w:lang w:val="uk-UA"/>
              </w:rPr>
              <w:t xml:space="preserve">0,2 відсотка - для внутрішнього туризму та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0,2 відсотка - </w:t>
            </w:r>
            <w:r w:rsidRPr="00520256">
              <w:rPr>
                <w:sz w:val="24"/>
                <w:szCs w:val="24"/>
                <w:shd w:val="clear" w:color="auto" w:fill="FFFFFF"/>
                <w:lang w:val="uk-UA"/>
              </w:rPr>
              <w:t xml:space="preserve">для в’їзного туризму від розміру мінімальної заробітної плати, встановленої законом на 1 січня звітного (податкового) року, що складає </w:t>
            </w:r>
            <w:r w:rsidRPr="00520256">
              <w:rPr>
                <w:sz w:val="24"/>
                <w:szCs w:val="24"/>
              </w:rPr>
              <w:t xml:space="preserve">на  2020  рік  </w:t>
            </w:r>
            <w:r w:rsidRPr="00520256">
              <w:rPr>
                <w:sz w:val="24"/>
                <w:szCs w:val="24"/>
                <w:lang w:val="uk-UA"/>
              </w:rPr>
              <w:t>8,81грн.  за 1 день з 1 особи.</w:t>
            </w:r>
          </w:p>
        </w:tc>
      </w:tr>
    </w:tbl>
    <w:p w:rsidR="001A466E" w:rsidRPr="00520256" w:rsidRDefault="001A466E" w:rsidP="001A466E">
      <w:pPr>
        <w:ind w:firstLine="708"/>
        <w:jc w:val="both"/>
        <w:rPr>
          <w:sz w:val="24"/>
          <w:szCs w:val="24"/>
        </w:rPr>
      </w:pPr>
    </w:p>
    <w:p w:rsidR="001A466E" w:rsidRPr="00520256" w:rsidRDefault="001A466E" w:rsidP="001A466E">
      <w:pPr>
        <w:ind w:firstLine="426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3</w:t>
      </w:r>
      <w:r w:rsidRPr="00520256">
        <w:rPr>
          <w:b/>
          <w:bCs/>
          <w:sz w:val="24"/>
          <w:szCs w:val="24"/>
          <w:lang w:val="uk-UA"/>
        </w:rPr>
        <w:t xml:space="preserve">.  Вибір  найбільш  оптимального  альтернативного  способу досягнення цілей </w:t>
      </w:r>
    </w:p>
    <w:p w:rsidR="001A466E" w:rsidRPr="00520256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520256">
        <w:rPr>
          <w:sz w:val="24"/>
          <w:szCs w:val="24"/>
          <w:lang w:val="uk-UA"/>
        </w:rPr>
        <w:t>З урахуванням системи бальної оцінки ступеня досягнення визначених цілей здійснено вибір оптимального альтернативного способу.</w:t>
      </w:r>
    </w:p>
    <w:p w:rsidR="001A466E" w:rsidRPr="00520256" w:rsidRDefault="001A466E" w:rsidP="001A466E">
      <w:pPr>
        <w:ind w:firstLine="426"/>
        <w:jc w:val="both"/>
        <w:rPr>
          <w:sz w:val="24"/>
          <w:szCs w:val="24"/>
          <w:lang w:val="uk-UA"/>
        </w:rPr>
      </w:pPr>
    </w:p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1"/>
        <w:gridCol w:w="2210"/>
        <w:gridCol w:w="4111"/>
      </w:tblGrid>
      <w:tr w:rsidR="001A466E" w:rsidRPr="00520256" w:rsidTr="005934B2">
        <w:tc>
          <w:tcPr>
            <w:tcW w:w="3001" w:type="dxa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210" w:type="dxa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Бал результативності (за чотирибальною системою оцінки)</w:t>
            </w:r>
          </w:p>
        </w:tc>
        <w:tc>
          <w:tcPr>
            <w:tcW w:w="4111" w:type="dxa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Коментарі щодо присвоєння відповідного бала</w:t>
            </w:r>
          </w:p>
        </w:tc>
      </w:tr>
      <w:tr w:rsidR="001A466E" w:rsidRPr="00520256" w:rsidTr="005934B2">
        <w:tc>
          <w:tcPr>
            <w:tcW w:w="3001" w:type="dxa"/>
          </w:tcPr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lastRenderedPageBreak/>
              <w:t>Альтернатива 1</w:t>
            </w:r>
          </w:p>
        </w:tc>
        <w:tc>
          <w:tcPr>
            <w:tcW w:w="2210" w:type="dxa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</w:tcPr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 xml:space="preserve">Відсутні надходження до міського бюджету. Втрати міського бюджету прогнозовано складуть </w:t>
            </w:r>
            <w:r>
              <w:rPr>
                <w:sz w:val="24"/>
                <w:szCs w:val="24"/>
                <w:lang w:val="uk-UA"/>
              </w:rPr>
              <w:t>30</w:t>
            </w:r>
            <w:r w:rsidRPr="00520256">
              <w:rPr>
                <w:sz w:val="24"/>
                <w:szCs w:val="24"/>
                <w:lang w:val="uk-UA"/>
              </w:rPr>
              <w:t>,0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тис. грн.</w:t>
            </w:r>
          </w:p>
        </w:tc>
      </w:tr>
      <w:tr w:rsidR="001A466E" w:rsidRPr="00520256" w:rsidTr="005934B2">
        <w:tc>
          <w:tcPr>
            <w:tcW w:w="3001" w:type="dxa"/>
          </w:tcPr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Альтернатива 2</w:t>
            </w:r>
          </w:p>
        </w:tc>
        <w:tc>
          <w:tcPr>
            <w:tcW w:w="2210" w:type="dxa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111" w:type="dxa"/>
          </w:tcPr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 xml:space="preserve">Цей регуляторний акт відповідає 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 xml:space="preserve">потребам у розв’язанні визначеної проблеми та принципам державної 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 xml:space="preserve">регуляторної політики. 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 xml:space="preserve">Затвердження такого регуляторного акта забезпечить поступове досягнення встановлених цілей, а саме, збільшення доходної частини 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бюджету, що забезпечить фінансування повноважень органів місцевого самоврядування.</w:t>
            </w:r>
          </w:p>
        </w:tc>
      </w:tr>
    </w:tbl>
    <w:p w:rsidR="001A466E" w:rsidRPr="00520256" w:rsidRDefault="001A466E" w:rsidP="001A466E">
      <w:pPr>
        <w:ind w:firstLine="426"/>
        <w:jc w:val="both"/>
        <w:rPr>
          <w:sz w:val="24"/>
          <w:szCs w:val="24"/>
          <w:lang w:val="uk-UA"/>
        </w:rPr>
      </w:pPr>
    </w:p>
    <w:p w:rsidR="001A466E" w:rsidRPr="00520256" w:rsidRDefault="001A466E" w:rsidP="001A466E">
      <w:pPr>
        <w:ind w:firstLine="426"/>
        <w:jc w:val="both"/>
        <w:rPr>
          <w:sz w:val="24"/>
          <w:szCs w:val="24"/>
          <w:lang w:val="uk-UA"/>
        </w:rPr>
      </w:pPr>
    </w:p>
    <w:tbl>
      <w:tblPr>
        <w:tblpPr w:leftFromText="45" w:rightFromText="45" w:vertAnchor="text"/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87"/>
        <w:gridCol w:w="2058"/>
        <w:gridCol w:w="1582"/>
        <w:gridCol w:w="3802"/>
      </w:tblGrid>
      <w:tr w:rsidR="001A466E" w:rsidRPr="00520256" w:rsidTr="005934B2">
        <w:trPr>
          <w:tblCellSpacing w:w="0" w:type="dxa"/>
        </w:trPr>
        <w:tc>
          <w:tcPr>
            <w:tcW w:w="9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Рейтинг результативності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Вигоди (підсумок)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Витрати (підсумок)</w:t>
            </w:r>
          </w:p>
        </w:tc>
        <w:tc>
          <w:tcPr>
            <w:tcW w:w="2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Обґрунтування відповідного місця альтернативи у рейтингу</w:t>
            </w:r>
          </w:p>
        </w:tc>
      </w:tr>
      <w:tr w:rsidR="001A466E" w:rsidRPr="00520256" w:rsidTr="005934B2">
        <w:trPr>
          <w:tblCellSpacing w:w="0" w:type="dxa"/>
        </w:trPr>
        <w:tc>
          <w:tcPr>
            <w:tcW w:w="9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Альтернатива 1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  <w:lang w:val="uk-UA"/>
              </w:rPr>
              <w:t>В</w:t>
            </w:r>
            <w:r w:rsidRPr="00520256">
              <w:rPr>
                <w:sz w:val="24"/>
                <w:szCs w:val="24"/>
              </w:rPr>
              <w:t>ідсутні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  <w:lang w:val="uk-UA"/>
              </w:rPr>
              <w:t>В</w:t>
            </w:r>
            <w:r w:rsidRPr="00520256">
              <w:rPr>
                <w:sz w:val="24"/>
                <w:szCs w:val="24"/>
              </w:rPr>
              <w:t>ідсутні</w:t>
            </w:r>
          </w:p>
        </w:tc>
        <w:tc>
          <w:tcPr>
            <w:tcW w:w="2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 xml:space="preserve">Альтернатива є </w:t>
            </w:r>
            <w:r w:rsidRPr="00520256">
              <w:rPr>
                <w:sz w:val="24"/>
                <w:szCs w:val="24"/>
                <w:lang w:val="uk-UA"/>
              </w:rPr>
              <w:t>н</w:t>
            </w:r>
            <w:r w:rsidRPr="00520256">
              <w:rPr>
                <w:sz w:val="24"/>
                <w:szCs w:val="24"/>
              </w:rPr>
              <w:t xml:space="preserve">еприйнятною, насамперед через неотримання у 2020 році надходжень до бюджету у сумі </w:t>
            </w:r>
            <w:r>
              <w:rPr>
                <w:sz w:val="24"/>
                <w:szCs w:val="24"/>
                <w:lang w:val="uk-UA"/>
              </w:rPr>
              <w:t>30</w:t>
            </w:r>
            <w:r w:rsidRPr="00520256">
              <w:rPr>
                <w:sz w:val="24"/>
                <w:szCs w:val="24"/>
                <w:lang w:val="uk-UA"/>
              </w:rPr>
              <w:t xml:space="preserve">,0 </w:t>
            </w:r>
            <w:r w:rsidRPr="00520256">
              <w:rPr>
                <w:sz w:val="24"/>
                <w:szCs w:val="24"/>
              </w:rPr>
              <w:t>тис. грн., що завадить</w:t>
            </w:r>
            <w:r w:rsidRPr="00520256">
              <w:rPr>
                <w:sz w:val="24"/>
                <w:szCs w:val="24"/>
                <w:lang w:val="uk-UA"/>
              </w:rPr>
              <w:t xml:space="preserve"> </w:t>
            </w:r>
            <w:r w:rsidRPr="00520256">
              <w:rPr>
                <w:sz w:val="24"/>
                <w:szCs w:val="24"/>
              </w:rPr>
              <w:t>забезпеченню низки видатків,</w:t>
            </w:r>
            <w:r w:rsidRPr="00520256">
              <w:rPr>
                <w:sz w:val="24"/>
                <w:szCs w:val="24"/>
                <w:lang w:val="uk-UA"/>
              </w:rPr>
              <w:t xml:space="preserve"> </w:t>
            </w:r>
            <w:r w:rsidRPr="00520256">
              <w:rPr>
                <w:sz w:val="24"/>
                <w:szCs w:val="24"/>
              </w:rPr>
              <w:t>направлених на організацію та поліпшення життєдіяльності міської громади</w:t>
            </w:r>
          </w:p>
        </w:tc>
      </w:tr>
      <w:tr w:rsidR="001A466E" w:rsidRPr="00520256" w:rsidTr="005934B2">
        <w:trPr>
          <w:tblCellSpacing w:w="0" w:type="dxa"/>
        </w:trPr>
        <w:tc>
          <w:tcPr>
            <w:tcW w:w="9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Альтернатива 2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Надходжен</w:t>
            </w:r>
          </w:p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 xml:space="preserve">ня до бюджету </w:t>
            </w:r>
          </w:p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  <w:lang w:val="uk-UA"/>
              </w:rPr>
              <w:t xml:space="preserve">туристичного зюору </w:t>
            </w:r>
            <w:r w:rsidRPr="00520256">
              <w:rPr>
                <w:sz w:val="24"/>
                <w:szCs w:val="24"/>
              </w:rPr>
              <w:t xml:space="preserve">у </w:t>
            </w:r>
          </w:p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 xml:space="preserve">сумі </w:t>
            </w:r>
            <w:r>
              <w:rPr>
                <w:sz w:val="24"/>
                <w:szCs w:val="24"/>
                <w:lang w:val="uk-UA"/>
              </w:rPr>
              <w:t>17</w:t>
            </w:r>
            <w:r w:rsidRPr="00520256">
              <w:rPr>
                <w:sz w:val="24"/>
                <w:szCs w:val="24"/>
                <w:lang w:val="uk-UA"/>
              </w:rPr>
              <w:t xml:space="preserve">,0 </w:t>
            </w:r>
            <w:r w:rsidRPr="00520256">
              <w:rPr>
                <w:sz w:val="24"/>
                <w:szCs w:val="24"/>
              </w:rPr>
              <w:t xml:space="preserve">тис. грн. </w:t>
            </w:r>
            <w:r w:rsidRPr="00520256">
              <w:rPr>
                <w:sz w:val="24"/>
                <w:szCs w:val="24"/>
                <w:lang w:val="uk-UA"/>
              </w:rPr>
              <w:t>на</w:t>
            </w:r>
            <w:r w:rsidRPr="00520256">
              <w:rPr>
                <w:sz w:val="24"/>
                <w:szCs w:val="24"/>
              </w:rPr>
              <w:t>дасть можливість</w:t>
            </w:r>
          </w:p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 xml:space="preserve">фінансування </w:t>
            </w:r>
          </w:p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видатків</w:t>
            </w:r>
            <w:r w:rsidRPr="00520256">
              <w:rPr>
                <w:sz w:val="24"/>
                <w:szCs w:val="24"/>
                <w:lang w:val="uk-UA"/>
              </w:rPr>
              <w:t xml:space="preserve"> </w:t>
            </w:r>
            <w:r w:rsidRPr="00520256">
              <w:rPr>
                <w:sz w:val="24"/>
                <w:szCs w:val="24"/>
              </w:rPr>
              <w:t xml:space="preserve">на </w:t>
            </w:r>
            <w:r w:rsidRPr="00520256">
              <w:rPr>
                <w:sz w:val="24"/>
                <w:szCs w:val="24"/>
                <w:lang w:val="uk-UA"/>
              </w:rPr>
              <w:t>н</w:t>
            </w:r>
            <w:r w:rsidRPr="00520256">
              <w:rPr>
                <w:sz w:val="24"/>
                <w:szCs w:val="24"/>
              </w:rPr>
              <w:t xml:space="preserve">адання </w:t>
            </w:r>
            <w:r w:rsidRPr="00520256">
              <w:rPr>
                <w:sz w:val="24"/>
                <w:szCs w:val="24"/>
                <w:lang w:val="uk-UA"/>
              </w:rPr>
              <w:t>с</w:t>
            </w:r>
            <w:r w:rsidRPr="00520256">
              <w:rPr>
                <w:sz w:val="24"/>
                <w:szCs w:val="24"/>
              </w:rPr>
              <w:t>успільних</w:t>
            </w:r>
          </w:p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послуг мешканцям</w:t>
            </w:r>
          </w:p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 xml:space="preserve">міста, вирішення </w:t>
            </w:r>
          </w:p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 xml:space="preserve">проблем громади </w:t>
            </w:r>
          </w:p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міста.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66E" w:rsidRPr="002B481C" w:rsidRDefault="001A466E" w:rsidP="005934B2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2B481C">
              <w:rPr>
                <w:color w:val="FF0000"/>
                <w:sz w:val="24"/>
                <w:szCs w:val="24"/>
                <w:lang w:val="uk-UA"/>
              </w:rPr>
              <w:t>19,5 тис.грн.,</w:t>
            </w:r>
          </w:p>
          <w:p w:rsidR="001A466E" w:rsidRPr="00520256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 w:rsidRPr="002B481C">
              <w:rPr>
                <w:color w:val="FF0000"/>
                <w:sz w:val="24"/>
                <w:szCs w:val="24"/>
                <w:lang w:val="uk-UA"/>
              </w:rPr>
              <w:t xml:space="preserve">в т. ч. туристичний збір 17,0 </w:t>
            </w:r>
            <w:r w:rsidRPr="002B481C">
              <w:rPr>
                <w:color w:val="FF0000"/>
                <w:sz w:val="24"/>
                <w:szCs w:val="24"/>
              </w:rPr>
              <w:t>тис.грн.</w:t>
            </w:r>
          </w:p>
        </w:tc>
        <w:tc>
          <w:tcPr>
            <w:tcW w:w="2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Цей  регуляторний  акт  відповідає потребам у розв’язанні  визначеної  проблеми  та</w:t>
            </w:r>
            <w:r w:rsidRPr="00520256">
              <w:rPr>
                <w:sz w:val="24"/>
                <w:szCs w:val="24"/>
                <w:lang w:val="uk-UA"/>
              </w:rPr>
              <w:t xml:space="preserve"> </w:t>
            </w:r>
            <w:r w:rsidRPr="00520256">
              <w:rPr>
                <w:sz w:val="24"/>
                <w:szCs w:val="24"/>
              </w:rPr>
              <w:t>принципам державної регуляторної політики. Затвердження такого регуляторного акта</w:t>
            </w:r>
            <w:r w:rsidRPr="00520256">
              <w:rPr>
                <w:sz w:val="24"/>
                <w:szCs w:val="24"/>
                <w:lang w:val="uk-UA"/>
              </w:rPr>
              <w:t xml:space="preserve"> </w:t>
            </w:r>
            <w:r w:rsidRPr="00520256">
              <w:rPr>
                <w:sz w:val="24"/>
                <w:szCs w:val="24"/>
              </w:rPr>
              <w:t>забезпечить  поступове  досягнення встановлених цілей,  а</w:t>
            </w:r>
            <w:r w:rsidRPr="00520256">
              <w:rPr>
                <w:sz w:val="24"/>
                <w:szCs w:val="24"/>
                <w:lang w:val="uk-UA"/>
              </w:rPr>
              <w:t xml:space="preserve"> </w:t>
            </w:r>
            <w:r w:rsidRPr="00520256">
              <w:rPr>
                <w:sz w:val="24"/>
                <w:szCs w:val="24"/>
              </w:rPr>
              <w:t>саме,  збільшення  доходної</w:t>
            </w:r>
            <w:r w:rsidRPr="00520256">
              <w:rPr>
                <w:sz w:val="24"/>
                <w:szCs w:val="24"/>
                <w:lang w:val="uk-UA"/>
              </w:rPr>
              <w:t xml:space="preserve"> </w:t>
            </w:r>
            <w:r w:rsidRPr="00520256">
              <w:rPr>
                <w:sz w:val="24"/>
                <w:szCs w:val="24"/>
              </w:rPr>
              <w:t>частини  бюджету,  що  забезпечить  фінансування</w:t>
            </w:r>
            <w:r w:rsidRPr="00520256">
              <w:rPr>
                <w:sz w:val="24"/>
                <w:szCs w:val="24"/>
                <w:lang w:val="uk-UA"/>
              </w:rPr>
              <w:t xml:space="preserve"> </w:t>
            </w:r>
            <w:r w:rsidRPr="00520256">
              <w:rPr>
                <w:sz w:val="24"/>
                <w:szCs w:val="24"/>
              </w:rPr>
              <w:t>повноважень органів місцевого самоврядування.</w:t>
            </w:r>
          </w:p>
        </w:tc>
      </w:tr>
    </w:tbl>
    <w:p w:rsidR="001A466E" w:rsidRPr="00520256" w:rsidRDefault="001A466E" w:rsidP="001A466E">
      <w:pPr>
        <w:ind w:firstLine="426"/>
        <w:jc w:val="both"/>
        <w:rPr>
          <w:sz w:val="24"/>
          <w:szCs w:val="24"/>
          <w:lang w:val="uk-UA"/>
        </w:rPr>
      </w:pPr>
    </w:p>
    <w:tbl>
      <w:tblPr>
        <w:tblW w:w="92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1"/>
        <w:gridCol w:w="3081"/>
        <w:gridCol w:w="3081"/>
      </w:tblGrid>
      <w:tr w:rsidR="001A466E" w:rsidRPr="00520256" w:rsidTr="005934B2">
        <w:trPr>
          <w:trHeight w:val="289"/>
        </w:trPr>
        <w:tc>
          <w:tcPr>
            <w:tcW w:w="3081" w:type="dxa"/>
            <w:vAlign w:val="center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</w:rPr>
            </w:pPr>
            <w:r w:rsidRPr="00520256">
              <w:rPr>
                <w:b/>
                <w:bCs/>
                <w:sz w:val="24"/>
                <w:szCs w:val="24"/>
              </w:rPr>
              <w:t> </w:t>
            </w:r>
            <w:r w:rsidRPr="00520256">
              <w:rPr>
                <w:sz w:val="24"/>
                <w:szCs w:val="24"/>
              </w:rPr>
              <w:t> Рейтинг</w:t>
            </w:r>
          </w:p>
        </w:tc>
        <w:tc>
          <w:tcPr>
            <w:tcW w:w="3081" w:type="dxa"/>
            <w:vAlign w:val="center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081" w:type="dxa"/>
            <w:vAlign w:val="center"/>
          </w:tcPr>
          <w:p w:rsidR="001A466E" w:rsidRPr="00520256" w:rsidRDefault="001A466E" w:rsidP="005934B2">
            <w:pPr>
              <w:jc w:val="center"/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1A466E" w:rsidRPr="00520256" w:rsidTr="005934B2">
        <w:trPr>
          <w:trHeight w:val="289"/>
        </w:trPr>
        <w:tc>
          <w:tcPr>
            <w:tcW w:w="3081" w:type="dxa"/>
            <w:vAlign w:val="center"/>
          </w:tcPr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t>Альтернатива 1</w:t>
            </w:r>
          </w:p>
        </w:tc>
        <w:tc>
          <w:tcPr>
            <w:tcW w:w="3081" w:type="dxa"/>
          </w:tcPr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 xml:space="preserve">Причиною відмови є 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 xml:space="preserve">необхідність фінансування 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 xml:space="preserve">місцевих програм, наповнення 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 xml:space="preserve">місцевого бюджету, 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 xml:space="preserve">недоотримання коштів у </w:t>
            </w:r>
            <w:r w:rsidRPr="00520256">
              <w:rPr>
                <w:sz w:val="24"/>
                <w:szCs w:val="24"/>
                <w:lang w:val="uk-UA"/>
              </w:rPr>
              <w:lastRenderedPageBreak/>
              <w:t xml:space="preserve">2020 році за прогнозом становить </w:t>
            </w:r>
            <w:r>
              <w:rPr>
                <w:sz w:val="24"/>
                <w:szCs w:val="24"/>
                <w:lang w:val="uk-UA"/>
              </w:rPr>
              <w:t>30</w:t>
            </w:r>
            <w:r w:rsidRPr="00520256">
              <w:rPr>
                <w:sz w:val="24"/>
                <w:szCs w:val="24"/>
                <w:lang w:val="uk-UA"/>
              </w:rPr>
              <w:t>,0 тис. грн.</w:t>
            </w:r>
          </w:p>
        </w:tc>
        <w:tc>
          <w:tcPr>
            <w:tcW w:w="3081" w:type="dxa"/>
          </w:tcPr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lastRenderedPageBreak/>
              <w:t xml:space="preserve">Відсутні кошти в 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міському бюджеті</w:t>
            </w:r>
            <w:r>
              <w:rPr>
                <w:sz w:val="24"/>
                <w:szCs w:val="24"/>
                <w:lang w:val="uk-UA"/>
              </w:rPr>
              <w:t xml:space="preserve"> від сплати туристичного збору</w:t>
            </w:r>
            <w:r w:rsidRPr="00520256">
              <w:rPr>
                <w:sz w:val="24"/>
                <w:szCs w:val="24"/>
                <w:lang w:val="uk-UA"/>
              </w:rPr>
              <w:t xml:space="preserve">. 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A466E" w:rsidRPr="00520256" w:rsidTr="005934B2">
        <w:trPr>
          <w:trHeight w:val="289"/>
        </w:trPr>
        <w:tc>
          <w:tcPr>
            <w:tcW w:w="3081" w:type="dxa"/>
            <w:vAlign w:val="center"/>
          </w:tcPr>
          <w:p w:rsidR="001A466E" w:rsidRPr="00520256" w:rsidRDefault="001A466E" w:rsidP="005934B2">
            <w:pPr>
              <w:rPr>
                <w:sz w:val="24"/>
                <w:szCs w:val="24"/>
              </w:rPr>
            </w:pPr>
            <w:r w:rsidRPr="00520256">
              <w:rPr>
                <w:sz w:val="24"/>
                <w:szCs w:val="24"/>
              </w:rPr>
              <w:lastRenderedPageBreak/>
              <w:t>Альтернатива 2</w:t>
            </w:r>
          </w:p>
        </w:tc>
        <w:tc>
          <w:tcPr>
            <w:tcW w:w="3081" w:type="dxa"/>
          </w:tcPr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Досягнення  встановлених  цілей відбудеться лише за умови безпосереднього  державного  регулювання, шляхом прийняття запропонованого акта. Цей спосіб досягнення  цілей  є  найбільш оптимальним  та  доцільним, оскільки  відповідає вимогам чинного  регулювання,  забезпечує  надходження  до  міського бюджету, забезпечує досягнення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 xml:space="preserve">цілей державного регулювання. 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За  таких  обставин,  перевага  була  віддана  даній  альтернативі, оскільки у цьому випадку  досягнути  вищезазначеної мети можливо у найбільш короткий  термін  з  врахуванням особливостей  роботи  міської ради, її виконавчого органу.</w:t>
            </w:r>
          </w:p>
        </w:tc>
        <w:tc>
          <w:tcPr>
            <w:tcW w:w="3081" w:type="dxa"/>
          </w:tcPr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Вплив  зовнішніх  факторів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на дію регуляторного акта,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зміни  в  чинному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законодавстві можуть мати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як  позитивний,  так  і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негативний  вплив  на  дію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цього  регуляторного  акта.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Зовнішнім  фактором  який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може вплинути негативно - неналежне  ставлення  та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 xml:space="preserve">сплата  туристичного  збору суб’єктами господарювання. 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Позитивним  фактором  є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надходження  коштів  до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міського бюджету у сумі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  <w:r w:rsidRPr="00520256">
              <w:rPr>
                <w:sz w:val="24"/>
                <w:szCs w:val="24"/>
                <w:lang w:val="uk-UA"/>
              </w:rPr>
              <w:t>,0 тис  грн.,  які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використовуються  на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задоволення  суспільних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благ  територіальної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 xml:space="preserve">громади. Передбачається,  що </w:t>
            </w:r>
            <w:r>
              <w:rPr>
                <w:sz w:val="24"/>
                <w:szCs w:val="24"/>
                <w:lang w:val="uk-UA"/>
              </w:rPr>
              <w:t>податкові агенти</w:t>
            </w:r>
            <w:r w:rsidRPr="00520256">
              <w:rPr>
                <w:sz w:val="24"/>
                <w:szCs w:val="24"/>
                <w:lang w:val="uk-UA"/>
              </w:rPr>
              <w:t xml:space="preserve">  туристичного збору,  будуть неухильно виконувати вимоги  запропонованого проекту  рішення,  тобто  в повному  обсязі  та своєчасно  вносити податкові платежі, тому як вартість  виконання  цих вимог нижча, ніж вартість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ухилення  від  виконання</w:t>
            </w:r>
          </w:p>
          <w:p w:rsidR="001A466E" w:rsidRPr="00520256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520256">
              <w:rPr>
                <w:sz w:val="24"/>
                <w:szCs w:val="24"/>
                <w:lang w:val="uk-UA"/>
              </w:rPr>
              <w:t>таких вимог.</w:t>
            </w:r>
          </w:p>
        </w:tc>
      </w:tr>
    </w:tbl>
    <w:p w:rsidR="001A466E" w:rsidRPr="00520256" w:rsidRDefault="001A466E" w:rsidP="001A466E">
      <w:pPr>
        <w:ind w:firstLine="426"/>
        <w:jc w:val="both"/>
        <w:rPr>
          <w:sz w:val="24"/>
          <w:szCs w:val="24"/>
          <w:lang w:val="uk-UA"/>
        </w:rPr>
      </w:pPr>
    </w:p>
    <w:p w:rsidR="001A466E" w:rsidRPr="00520256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520256">
        <w:rPr>
          <w:sz w:val="24"/>
          <w:szCs w:val="24"/>
          <w:lang w:val="uk-UA"/>
        </w:rPr>
        <w:t>Оцінка  можливості  впровадження  та  виконання  вимог регуляторного акта:</w:t>
      </w:r>
    </w:p>
    <w:p w:rsidR="001A466E" w:rsidRPr="00520256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520256">
        <w:rPr>
          <w:sz w:val="24"/>
          <w:szCs w:val="24"/>
          <w:lang w:val="uk-UA"/>
        </w:rPr>
        <w:t>Прийняття  даного  регуляторного  акта  не  потребує  додаткових витрат  з бюджету.</w:t>
      </w:r>
    </w:p>
    <w:p w:rsidR="001A466E" w:rsidRPr="00520256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520256">
        <w:rPr>
          <w:sz w:val="24"/>
          <w:szCs w:val="24"/>
          <w:lang w:val="uk-UA"/>
        </w:rPr>
        <w:t>Державний нагляд та контроль за додержанням вимог акта:</w:t>
      </w:r>
    </w:p>
    <w:p w:rsidR="001A466E" w:rsidRPr="00520256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520256">
        <w:rPr>
          <w:sz w:val="24"/>
          <w:szCs w:val="24"/>
          <w:lang w:val="uk-UA"/>
        </w:rPr>
        <w:t xml:space="preserve">Прийняття цього регуляторного акта забезпечить належне справляння туристичного збору на території міста Южноукраїнська та надходження   його  до  міського  бюджету  в  прогнозованих  обсягах. </w:t>
      </w:r>
    </w:p>
    <w:p w:rsidR="001A466E" w:rsidRPr="00520256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520256">
        <w:rPr>
          <w:sz w:val="24"/>
          <w:szCs w:val="24"/>
          <w:lang w:val="uk-UA"/>
        </w:rPr>
        <w:t xml:space="preserve">Контроль за дотриманням вимог акта  здійснюватиметься відповідно до чинного  законодавства  Южноукраїнським управлінням  Головного  управління ДФС у Миколаївській області. </w:t>
      </w:r>
    </w:p>
    <w:p w:rsidR="001A466E" w:rsidRPr="00520256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520256">
        <w:rPr>
          <w:sz w:val="24"/>
          <w:szCs w:val="24"/>
          <w:lang w:val="uk-UA"/>
        </w:rPr>
        <w:t>Перешкоди щодо можливого впровадження цього регуляторного акта та виконання його вимог відсутні.</w:t>
      </w:r>
    </w:p>
    <w:p w:rsidR="001A466E" w:rsidRPr="00520256" w:rsidRDefault="001A466E" w:rsidP="001A466E">
      <w:pPr>
        <w:ind w:firstLine="426"/>
        <w:jc w:val="both"/>
        <w:rPr>
          <w:b/>
          <w:bCs/>
          <w:sz w:val="24"/>
          <w:szCs w:val="24"/>
          <w:lang w:val="uk-UA"/>
        </w:rPr>
      </w:pPr>
      <w:r w:rsidRPr="00520256">
        <w:rPr>
          <w:b/>
          <w:bCs/>
          <w:sz w:val="24"/>
          <w:szCs w:val="24"/>
          <w:lang w:val="uk-UA"/>
        </w:rPr>
        <w:t xml:space="preserve">5.   Механізм  та  заходи,  які  забезпечать розв’язання  визначеної проблеми </w:t>
      </w:r>
    </w:p>
    <w:p w:rsidR="001A466E" w:rsidRPr="00520256" w:rsidRDefault="001A466E" w:rsidP="001A466E">
      <w:pPr>
        <w:ind w:right="-2"/>
        <w:jc w:val="both"/>
        <w:rPr>
          <w:sz w:val="24"/>
          <w:szCs w:val="24"/>
          <w:lang w:val="uk-UA"/>
        </w:rPr>
      </w:pPr>
      <w:r w:rsidRPr="00520256">
        <w:rPr>
          <w:sz w:val="24"/>
          <w:szCs w:val="24"/>
          <w:lang w:val="uk-UA"/>
        </w:rPr>
        <w:t>Механізмом розв’язання вказаної вище проблеми є прийняття рішення Южноукраїнської міської ради «Про встановлення на 2020 рік ставок туристичного збору в місті Южноукраїнську» відповідно до вимог чинного законодавства.</w:t>
      </w:r>
    </w:p>
    <w:p w:rsidR="001A466E" w:rsidRPr="00520256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520256">
        <w:rPr>
          <w:sz w:val="24"/>
          <w:szCs w:val="24"/>
          <w:lang w:val="uk-UA"/>
        </w:rPr>
        <w:lastRenderedPageBreak/>
        <w:t>Проектом  пропонується залишити відсотковий розмір ставок туристичного збору на рівні 2019 року.</w:t>
      </w:r>
    </w:p>
    <w:p w:rsidR="001A466E" w:rsidRPr="00520256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520256">
        <w:rPr>
          <w:sz w:val="24"/>
          <w:szCs w:val="24"/>
          <w:lang w:val="uk-UA"/>
        </w:rPr>
        <w:t>Організаційні заходи для впровадження регулювання:</w:t>
      </w:r>
    </w:p>
    <w:p w:rsidR="001A466E" w:rsidRPr="00520256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520256">
        <w:rPr>
          <w:sz w:val="24"/>
          <w:szCs w:val="24"/>
          <w:lang w:val="uk-UA"/>
        </w:rPr>
        <w:t>– розробка  проекту  регуляторного  «Про встановлення на 2020 рік ставок туристичного збору в місті Южноукраїнську» та обговорення його на засіданнях пості</w:t>
      </w:r>
      <w:r>
        <w:rPr>
          <w:sz w:val="24"/>
          <w:szCs w:val="24"/>
          <w:lang w:val="uk-UA"/>
        </w:rPr>
        <w:t>й</w:t>
      </w:r>
      <w:r w:rsidRPr="00520256">
        <w:rPr>
          <w:sz w:val="24"/>
          <w:szCs w:val="24"/>
          <w:lang w:val="uk-UA"/>
        </w:rPr>
        <w:t>них комісій міської ради дотримання в м. Южноукраїнськ принципів державної регуляторної політики;</w:t>
      </w:r>
    </w:p>
    <w:p w:rsidR="001A466E" w:rsidRPr="00520256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520256">
        <w:rPr>
          <w:sz w:val="24"/>
          <w:szCs w:val="24"/>
          <w:lang w:val="uk-UA"/>
        </w:rPr>
        <w:t xml:space="preserve">-   опублікування оголошення про оприлюднення проекту регуляторного акту та проекту рішення разом з аналізом регуляторного впливу у мережі Інтернет з метою отримання зауважень та пропозицій щодо ставок </w:t>
      </w:r>
      <w:r>
        <w:rPr>
          <w:sz w:val="24"/>
          <w:szCs w:val="24"/>
          <w:lang w:val="uk-UA"/>
        </w:rPr>
        <w:t>туристичного збору</w:t>
      </w:r>
      <w:r w:rsidRPr="00520256">
        <w:rPr>
          <w:sz w:val="24"/>
          <w:szCs w:val="24"/>
          <w:lang w:val="uk-UA"/>
        </w:rPr>
        <w:t xml:space="preserve">; </w:t>
      </w:r>
    </w:p>
    <w:p w:rsidR="001A466E" w:rsidRPr="00520256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520256">
        <w:rPr>
          <w:sz w:val="24"/>
          <w:szCs w:val="24"/>
          <w:lang w:val="uk-UA"/>
        </w:rPr>
        <w:t xml:space="preserve">- опублікування оголошення про </w:t>
      </w:r>
      <w:r>
        <w:rPr>
          <w:sz w:val="24"/>
          <w:szCs w:val="24"/>
          <w:lang w:val="uk-UA"/>
        </w:rPr>
        <w:t xml:space="preserve">розробку та </w:t>
      </w:r>
      <w:r w:rsidRPr="00520256">
        <w:rPr>
          <w:sz w:val="24"/>
          <w:szCs w:val="24"/>
          <w:lang w:val="uk-UA"/>
        </w:rPr>
        <w:t>оприлюднен</w:t>
      </w:r>
      <w:r>
        <w:rPr>
          <w:sz w:val="24"/>
          <w:szCs w:val="24"/>
          <w:lang w:val="uk-UA"/>
        </w:rPr>
        <w:t>ня</w:t>
      </w:r>
      <w:r w:rsidRPr="00520256">
        <w:rPr>
          <w:sz w:val="24"/>
          <w:szCs w:val="24"/>
          <w:lang w:val="uk-UA"/>
        </w:rPr>
        <w:t xml:space="preserve"> проекту регуляторного акту в газеті «Контакт»; </w:t>
      </w:r>
    </w:p>
    <w:p w:rsidR="001A466E" w:rsidRPr="00520256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520256">
        <w:rPr>
          <w:sz w:val="24"/>
          <w:szCs w:val="24"/>
          <w:lang w:val="uk-UA"/>
        </w:rPr>
        <w:t xml:space="preserve">- розгляд  винесених  з  боку  суб’єктів  підприємницької  діяльності пропозицій та зауважень; </w:t>
      </w:r>
    </w:p>
    <w:p w:rsidR="001A466E" w:rsidRPr="00520256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520256">
        <w:rPr>
          <w:sz w:val="24"/>
          <w:szCs w:val="24"/>
          <w:lang w:val="uk-UA"/>
        </w:rPr>
        <w:t>-  направлення  до  уповноваженого  органу  для  підготовки  у встановленому  Кабінетом  Міністрів  України  порядку  пропозицій   щодо удосконалення проекту відповідно до принципів державної регуляторної політики;</w:t>
      </w:r>
    </w:p>
    <w:p w:rsidR="001A466E" w:rsidRPr="00520256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520256">
        <w:rPr>
          <w:sz w:val="24"/>
          <w:szCs w:val="24"/>
          <w:lang w:val="uk-UA"/>
        </w:rPr>
        <w:t>– прийняття   проекту  регуляторного  акта  «Про встановлення на 2020 рік ставок туристичного збору в місті Южноукраїнську» на сесії Южноукраїнської міської ради;</w:t>
      </w:r>
    </w:p>
    <w:p w:rsidR="001A466E" w:rsidRPr="00520256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520256">
        <w:rPr>
          <w:sz w:val="24"/>
          <w:szCs w:val="24"/>
          <w:lang w:val="uk-UA"/>
        </w:rPr>
        <w:t>–  оприлюднення    регуляторного  акта  у  засобах  масової інформації;</w:t>
      </w:r>
    </w:p>
    <w:p w:rsidR="001A466E" w:rsidRPr="00520256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520256">
        <w:rPr>
          <w:sz w:val="24"/>
          <w:szCs w:val="24"/>
          <w:lang w:val="uk-UA"/>
        </w:rPr>
        <w:t>– здійснення  моніторингу  надходжень  до  міського  бюджету коштів від сплати туристичного збору.</w:t>
      </w:r>
    </w:p>
    <w:p w:rsidR="001A466E" w:rsidRPr="00520256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520256">
        <w:rPr>
          <w:sz w:val="24"/>
          <w:szCs w:val="24"/>
          <w:lang w:val="uk-UA"/>
        </w:rPr>
        <w:t>Таким  чином,  упровадження  регуляторного  акта  забезпечить дотримання норм чинного податкового законодавства як органами фіскальної служби,  органами  місцевого  самоврядування,  так  і  суб’єктами господарювання</w:t>
      </w:r>
    </w:p>
    <w:p w:rsidR="001A466E" w:rsidRDefault="001A466E" w:rsidP="001A466E">
      <w:pPr>
        <w:ind w:firstLine="426"/>
        <w:jc w:val="both"/>
        <w:rPr>
          <w:b/>
          <w:bCs/>
          <w:sz w:val="24"/>
          <w:szCs w:val="24"/>
          <w:lang w:val="uk-UA"/>
        </w:rPr>
      </w:pPr>
      <w:r w:rsidRPr="00520256">
        <w:rPr>
          <w:sz w:val="24"/>
          <w:szCs w:val="24"/>
          <w:lang w:val="uk-UA"/>
        </w:rPr>
        <w:t xml:space="preserve"> </w:t>
      </w:r>
      <w:r w:rsidRPr="00520256">
        <w:rPr>
          <w:b/>
          <w:bCs/>
          <w:sz w:val="24"/>
          <w:szCs w:val="24"/>
          <w:lang w:val="uk-UA"/>
        </w:rPr>
        <w:t>6.Оцінка  виконання  вимог  регуляторного  акта  залежно  від ресурсів, якими розпоряджаються органи місцевого самоврядування, фізичні та юридичні особи, які повинні проваджувати або виконувати ці вимоги</w:t>
      </w:r>
    </w:p>
    <w:p w:rsidR="001A466E" w:rsidRDefault="001A466E" w:rsidP="001A466E">
      <w:pPr>
        <w:ind w:firstLine="426"/>
        <w:jc w:val="both"/>
        <w:rPr>
          <w:b/>
          <w:bCs/>
          <w:sz w:val="24"/>
          <w:szCs w:val="24"/>
          <w:lang w:val="uk-UA"/>
        </w:rPr>
      </w:pPr>
    </w:p>
    <w:p w:rsidR="001A466E" w:rsidRDefault="001A466E" w:rsidP="001A466E">
      <w:pPr>
        <w:ind w:firstLine="426"/>
        <w:jc w:val="both"/>
        <w:rPr>
          <w:b/>
          <w:bCs/>
          <w:sz w:val="24"/>
          <w:szCs w:val="24"/>
          <w:lang w:val="uk-UA"/>
        </w:rPr>
      </w:pPr>
    </w:p>
    <w:p w:rsidR="001A466E" w:rsidRDefault="001A466E" w:rsidP="001A466E">
      <w:pPr>
        <w:ind w:firstLine="426"/>
        <w:jc w:val="both"/>
        <w:rPr>
          <w:b/>
          <w:bCs/>
          <w:sz w:val="24"/>
          <w:szCs w:val="24"/>
          <w:lang w:val="uk-UA"/>
        </w:rPr>
      </w:pPr>
    </w:p>
    <w:p w:rsidR="001A466E" w:rsidRPr="007D6C8A" w:rsidRDefault="001A466E" w:rsidP="001A466E">
      <w:pPr>
        <w:pStyle w:val="a7"/>
        <w:spacing w:before="0" w:after="0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7D6C8A">
        <w:rPr>
          <w:rFonts w:ascii="Times New Roman" w:hAnsi="Times New Roman" w:cs="Times New Roman"/>
          <w:i/>
          <w:iCs/>
          <w:sz w:val="24"/>
          <w:szCs w:val="24"/>
        </w:rPr>
        <w:t xml:space="preserve">ВИТРАТИ </w:t>
      </w:r>
      <w:r w:rsidRPr="007D6C8A">
        <w:rPr>
          <w:rFonts w:ascii="Times New Roman" w:hAnsi="Times New Roman" w:cs="Times New Roman"/>
          <w:i/>
          <w:iCs/>
          <w:sz w:val="24"/>
          <w:szCs w:val="24"/>
        </w:rPr>
        <w:br/>
        <w:t>на одного суб’єкта господарювання великого й середнього підприємництва, що виникають внаслідок дії регуляторного акта</w:t>
      </w:r>
    </w:p>
    <w:p w:rsidR="001A466E" w:rsidRPr="007D6C8A" w:rsidRDefault="001A466E" w:rsidP="001A466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4891" w:type="pct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4"/>
        <w:gridCol w:w="6196"/>
        <w:gridCol w:w="2202"/>
      </w:tblGrid>
      <w:tr w:rsidR="001A466E" w:rsidRPr="002B481C" w:rsidTr="005934B2">
        <w:trPr>
          <w:trHeight w:val="852"/>
          <w:tblHeader/>
        </w:trPr>
        <w:tc>
          <w:tcPr>
            <w:tcW w:w="515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Поряд-ковий номер</w:t>
            </w:r>
          </w:p>
        </w:tc>
        <w:tc>
          <w:tcPr>
            <w:tcW w:w="3309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2B48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Витрати</w:t>
            </w:r>
          </w:p>
        </w:tc>
        <w:tc>
          <w:tcPr>
            <w:tcW w:w="1176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2020 рік</w:t>
            </w:r>
          </w:p>
        </w:tc>
      </w:tr>
    </w:tbl>
    <w:p w:rsidR="001A466E" w:rsidRPr="002B481C" w:rsidRDefault="001A466E" w:rsidP="001A466E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W w:w="489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4"/>
        <w:gridCol w:w="6196"/>
        <w:gridCol w:w="2202"/>
      </w:tblGrid>
      <w:tr w:rsidR="001A466E" w:rsidRPr="002B481C" w:rsidTr="005934B2">
        <w:trPr>
          <w:trHeight w:val="287"/>
          <w:tblHeader/>
        </w:trPr>
        <w:tc>
          <w:tcPr>
            <w:tcW w:w="515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309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2B48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76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1A466E" w:rsidRPr="002B481C" w:rsidTr="005934B2">
        <w:tc>
          <w:tcPr>
            <w:tcW w:w="515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pct"/>
          </w:tcPr>
          <w:p w:rsidR="001A466E" w:rsidRPr="002B481C" w:rsidRDefault="001A466E" w:rsidP="005934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Витрати на придбання основних фондів, обладнання та приладів, сервісне обслуговування, навчання/підвищення кваліфікації персоналу тощо, грн. </w:t>
            </w:r>
          </w:p>
        </w:tc>
        <w:tc>
          <w:tcPr>
            <w:tcW w:w="1176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Додаткових витрат не передбачено</w:t>
            </w:r>
          </w:p>
        </w:tc>
      </w:tr>
      <w:tr w:rsidR="001A466E" w:rsidRPr="002B481C" w:rsidTr="005934B2">
        <w:tc>
          <w:tcPr>
            <w:tcW w:w="515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9" w:type="pct"/>
          </w:tcPr>
          <w:p w:rsidR="001A466E" w:rsidRPr="002B481C" w:rsidRDefault="001A466E" w:rsidP="005934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Податки та збори (зміна розміру податків/зборів, виникнення необхідності у сплаті податків/зборів), грн. (в середньому на 1 платника)*</w:t>
            </w:r>
          </w:p>
        </w:tc>
        <w:tc>
          <w:tcPr>
            <w:tcW w:w="1176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13038,8</w:t>
            </w:r>
          </w:p>
        </w:tc>
      </w:tr>
      <w:tr w:rsidR="001A466E" w:rsidRPr="002B481C" w:rsidTr="005934B2">
        <w:trPr>
          <w:trHeight w:val="274"/>
        </w:trPr>
        <w:tc>
          <w:tcPr>
            <w:tcW w:w="515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9" w:type="pct"/>
          </w:tcPr>
          <w:p w:rsidR="001A466E" w:rsidRPr="002B481C" w:rsidRDefault="001A466E" w:rsidP="005934B2">
            <w:pPr>
              <w:pStyle w:val="a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Витрати, пов’язані з веденням обліку, підготовкою та поданням звітності до органів державної фіскальної служби, грн.</w:t>
            </w:r>
          </w:p>
        </w:tc>
        <w:tc>
          <w:tcPr>
            <w:tcW w:w="1176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Додаткових витрат не передбачено</w:t>
            </w:r>
          </w:p>
        </w:tc>
      </w:tr>
      <w:tr w:rsidR="001A466E" w:rsidRPr="002B481C" w:rsidTr="005934B2">
        <w:tc>
          <w:tcPr>
            <w:tcW w:w="515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9" w:type="pct"/>
          </w:tcPr>
          <w:p w:rsidR="001A466E" w:rsidRPr="002B481C" w:rsidRDefault="001A466E" w:rsidP="005934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тощо), грн.</w:t>
            </w:r>
          </w:p>
          <w:p w:rsidR="001A466E" w:rsidRPr="002B481C" w:rsidRDefault="001A466E" w:rsidP="005934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Формула: витрати часу на адміністрування заходів державного нагляду (контролю) Х вартість часу працівника контролюючого органу (заробітна плата) </w:t>
            </w:r>
            <w:r w:rsidRPr="002B48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(0,5 год. х 27,54 грн. </w:t>
            </w:r>
            <w:r w:rsidRPr="002B4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= </w:t>
            </w:r>
            <w:r w:rsidRPr="002B48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13,77</w:t>
            </w:r>
            <w:r w:rsidRPr="002B4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грн.)**</w:t>
            </w:r>
          </w:p>
        </w:tc>
        <w:tc>
          <w:tcPr>
            <w:tcW w:w="1176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13,77</w:t>
            </w:r>
          </w:p>
        </w:tc>
      </w:tr>
      <w:tr w:rsidR="001A466E" w:rsidRPr="002B481C" w:rsidTr="005934B2">
        <w:tc>
          <w:tcPr>
            <w:tcW w:w="515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09" w:type="pct"/>
          </w:tcPr>
          <w:p w:rsidR="001A466E" w:rsidRPr="002B481C" w:rsidRDefault="001A466E" w:rsidP="005934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Витрати на отримання адміністративних (дозволів, ліцензій, сертифікатів, атестатів, погоджень, висновків, проведення незалежних/ обов’язкових експертиз, сертифікації, атестації тощо) та інших послуг (проведення наукових, інших експертиз, страхування тощо), грн.</w:t>
            </w:r>
          </w:p>
        </w:tc>
        <w:tc>
          <w:tcPr>
            <w:tcW w:w="1176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Додаткових витрат не передбачено</w:t>
            </w:r>
          </w:p>
        </w:tc>
      </w:tr>
      <w:tr w:rsidR="001A466E" w:rsidRPr="002B481C" w:rsidTr="005934B2">
        <w:tc>
          <w:tcPr>
            <w:tcW w:w="515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9" w:type="pct"/>
          </w:tcPr>
          <w:p w:rsidR="001A466E" w:rsidRPr="002B481C" w:rsidRDefault="001A466E" w:rsidP="005934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Витрати на оборотні активи (матеріали, канцелярські товари тощо), грн.</w:t>
            </w:r>
          </w:p>
        </w:tc>
        <w:tc>
          <w:tcPr>
            <w:tcW w:w="1176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Додаткових витрат не передбачено</w:t>
            </w:r>
          </w:p>
        </w:tc>
      </w:tr>
      <w:tr w:rsidR="001A466E" w:rsidRPr="002B481C" w:rsidTr="005934B2">
        <w:tc>
          <w:tcPr>
            <w:tcW w:w="515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9" w:type="pct"/>
          </w:tcPr>
          <w:p w:rsidR="001A466E" w:rsidRPr="002B481C" w:rsidRDefault="001A466E" w:rsidP="005934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Витрати, пов’язані з наймом додаткового персоналу, грн.</w:t>
            </w:r>
          </w:p>
        </w:tc>
        <w:tc>
          <w:tcPr>
            <w:tcW w:w="1176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Додаткових витрат не передбачено</w:t>
            </w:r>
          </w:p>
        </w:tc>
      </w:tr>
      <w:tr w:rsidR="001A466E" w:rsidRPr="002B481C" w:rsidTr="005934B2">
        <w:trPr>
          <w:trHeight w:val="1397"/>
        </w:trPr>
        <w:tc>
          <w:tcPr>
            <w:tcW w:w="515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9" w:type="pct"/>
          </w:tcPr>
          <w:p w:rsidR="001A466E" w:rsidRPr="002B481C" w:rsidRDefault="001A466E" w:rsidP="005934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Інше (уточнити), грн.</w:t>
            </w:r>
          </w:p>
          <w:p w:rsidR="001A466E" w:rsidRPr="002B481C" w:rsidRDefault="001A466E" w:rsidP="005934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 отримання первинної інформації про вимоги регулювання.</w:t>
            </w:r>
          </w:p>
          <w:p w:rsidR="001A466E" w:rsidRPr="002B481C" w:rsidRDefault="001A466E" w:rsidP="005934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Формула: витрати часу на отримання інформації про регулювання Х вартість часу суб’єкта господарювання (заробітна плата) </w:t>
            </w:r>
            <w:r w:rsidRPr="002B48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(0,5 год. х 27,54 грн. </w:t>
            </w:r>
            <w:r w:rsidRPr="002B4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= </w:t>
            </w:r>
            <w:r w:rsidRPr="002B48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1,38</w:t>
            </w:r>
            <w:r w:rsidRPr="002B4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грн.)**</w:t>
            </w:r>
          </w:p>
        </w:tc>
        <w:tc>
          <w:tcPr>
            <w:tcW w:w="1176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</w:tr>
      <w:tr w:rsidR="001A466E" w:rsidRPr="002B481C" w:rsidTr="005934B2">
        <w:tc>
          <w:tcPr>
            <w:tcW w:w="515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9" w:type="pct"/>
          </w:tcPr>
          <w:p w:rsidR="001A466E" w:rsidRPr="002B481C" w:rsidRDefault="001A466E" w:rsidP="005934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РАЗОМ (сума рядків: 1 + 2 + 3 + 4 + 5 + 6 + 7+8), грн.</w:t>
            </w:r>
          </w:p>
        </w:tc>
        <w:tc>
          <w:tcPr>
            <w:tcW w:w="1176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13066,34</w:t>
            </w:r>
          </w:p>
        </w:tc>
      </w:tr>
      <w:tr w:rsidR="001A466E" w:rsidRPr="002B481C" w:rsidTr="005934B2">
        <w:tc>
          <w:tcPr>
            <w:tcW w:w="515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9" w:type="pct"/>
          </w:tcPr>
          <w:p w:rsidR="001A466E" w:rsidRPr="002B481C" w:rsidRDefault="001A466E" w:rsidP="005934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 суб’єктів господарювання великого та  середнього підприємництва, на яких буде поширено регулювання, одиниць</w:t>
            </w:r>
          </w:p>
        </w:tc>
        <w:tc>
          <w:tcPr>
            <w:tcW w:w="1176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A466E" w:rsidRPr="002B481C" w:rsidTr="005934B2">
        <w:trPr>
          <w:trHeight w:val="594"/>
        </w:trPr>
        <w:tc>
          <w:tcPr>
            <w:tcW w:w="515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9" w:type="pct"/>
          </w:tcPr>
          <w:p w:rsidR="001A466E" w:rsidRPr="002B481C" w:rsidRDefault="001A466E" w:rsidP="005934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Сумарні витрати суб’єктів господарювання великого та середнього підприємництва на виконання регулювання (вартість регулювання) (рядок 9 х рядок</w:t>
            </w: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4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10), грн.</w:t>
            </w:r>
          </w:p>
        </w:tc>
        <w:tc>
          <w:tcPr>
            <w:tcW w:w="1176" w:type="pct"/>
          </w:tcPr>
          <w:p w:rsidR="001A466E" w:rsidRPr="003F72C1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13066,34</w:t>
            </w:r>
          </w:p>
        </w:tc>
      </w:tr>
    </w:tbl>
    <w:p w:rsidR="001A466E" w:rsidRPr="002B481C" w:rsidRDefault="001A466E" w:rsidP="001A466E">
      <w:pPr>
        <w:widowControl w:val="0"/>
        <w:jc w:val="both"/>
        <w:rPr>
          <w:i/>
          <w:iCs/>
          <w:color w:val="000000"/>
          <w:sz w:val="24"/>
          <w:szCs w:val="24"/>
          <w:shd w:val="clear" w:color="auto" w:fill="FFFFFF"/>
          <w:lang w:val="uk-UA" w:eastAsia="uk-UA"/>
        </w:rPr>
      </w:pPr>
      <w:r w:rsidRPr="002B481C">
        <w:rPr>
          <w:i/>
          <w:iCs/>
          <w:color w:val="000000"/>
          <w:sz w:val="24"/>
          <w:szCs w:val="24"/>
          <w:shd w:val="clear" w:color="auto" w:fill="FFFFFF"/>
          <w:lang w:val="uk-UA" w:eastAsia="uk-UA"/>
        </w:rPr>
        <w:t>Для розрахунку витрат використовується орієнтовний мінімальний розмір заробітної плати</w:t>
      </w:r>
      <w:r w:rsidRPr="002B481C">
        <w:rPr>
          <w:color w:val="FF0000"/>
          <w:sz w:val="24"/>
          <w:szCs w:val="24"/>
          <w:lang w:val="uk-UA"/>
        </w:rPr>
        <w:t xml:space="preserve"> </w:t>
      </w:r>
      <w:r w:rsidRPr="002B481C">
        <w:rPr>
          <w:i/>
          <w:iCs/>
          <w:color w:val="000000"/>
          <w:sz w:val="24"/>
          <w:szCs w:val="24"/>
          <w:shd w:val="clear" w:color="auto" w:fill="FFFFFF"/>
          <w:lang w:val="uk-UA" w:eastAsia="uk-UA"/>
        </w:rPr>
        <w:t>(</w:t>
      </w:r>
      <w:r w:rsidRPr="002B481C">
        <w:rPr>
          <w:i/>
          <w:iCs/>
          <w:color w:val="000000"/>
          <w:sz w:val="24"/>
          <w:szCs w:val="24"/>
          <w:lang w:val="uk-UA" w:eastAsia="uk-UA"/>
        </w:rPr>
        <w:t>лист Міністерства фінансів України від 03.08.2018 №05110-14-21/20720), орієнтовна мінімальна заробітна плата 4 407 грн.,</w:t>
      </w:r>
      <w:r w:rsidRPr="002B481C">
        <w:rPr>
          <w:i/>
          <w:iCs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2B481C">
        <w:rPr>
          <w:i/>
          <w:iCs/>
          <w:color w:val="000000"/>
          <w:sz w:val="24"/>
          <w:szCs w:val="24"/>
          <w:lang w:val="uk-UA" w:eastAsia="uk-UA"/>
        </w:rPr>
        <w:t>у погодинному розмірі - 4 407 грн. / 160 год. = 27,54 грн/год.</w:t>
      </w:r>
      <w:r w:rsidRPr="002B481C">
        <w:rPr>
          <w:i/>
          <w:iCs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</w:p>
    <w:p w:rsidR="001A466E" w:rsidRPr="002B481C" w:rsidRDefault="001A466E" w:rsidP="001A466E">
      <w:pPr>
        <w:ind w:firstLine="708"/>
        <w:jc w:val="both"/>
        <w:rPr>
          <w:i/>
          <w:iCs/>
          <w:color w:val="000000"/>
          <w:sz w:val="24"/>
          <w:szCs w:val="24"/>
          <w:lang w:val="uk-UA"/>
        </w:rPr>
      </w:pPr>
    </w:p>
    <w:p w:rsidR="001A466E" w:rsidRPr="002B481C" w:rsidRDefault="001A466E" w:rsidP="001A466E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48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Розрахунок відповідних витрат на одного суб’єкта господарювання</w:t>
      </w:r>
    </w:p>
    <w:tbl>
      <w:tblPr>
        <w:tblW w:w="489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1"/>
        <w:gridCol w:w="3441"/>
      </w:tblGrid>
      <w:tr w:rsidR="001A466E" w:rsidRPr="002B481C" w:rsidTr="005934B2">
        <w:tc>
          <w:tcPr>
            <w:tcW w:w="3162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 витрат</w:t>
            </w:r>
          </w:p>
        </w:tc>
        <w:tc>
          <w:tcPr>
            <w:tcW w:w="1838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2020 рік</w:t>
            </w:r>
          </w:p>
        </w:tc>
      </w:tr>
      <w:tr w:rsidR="001A466E" w:rsidRPr="002B481C" w:rsidTr="005934B2">
        <w:tc>
          <w:tcPr>
            <w:tcW w:w="3162" w:type="pct"/>
          </w:tcPr>
          <w:p w:rsidR="001A466E" w:rsidRPr="002B481C" w:rsidRDefault="001A466E" w:rsidP="005934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Витрати на придбання основних фондів, обладнання та приладів, сервісне обслуговування, навчання/ підвищення кваліфікації персоналу тощо</w:t>
            </w:r>
          </w:p>
        </w:tc>
        <w:tc>
          <w:tcPr>
            <w:tcW w:w="1838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Додаткових витрат не передбачено</w:t>
            </w:r>
          </w:p>
        </w:tc>
      </w:tr>
    </w:tbl>
    <w:p w:rsidR="001A466E" w:rsidRPr="002B481C" w:rsidRDefault="001A466E" w:rsidP="001A466E">
      <w:pPr>
        <w:jc w:val="right"/>
        <w:rPr>
          <w:i/>
          <w:iCs/>
          <w:sz w:val="24"/>
          <w:szCs w:val="24"/>
          <w:lang w:val="uk-UA"/>
        </w:rPr>
      </w:pPr>
    </w:p>
    <w:tbl>
      <w:tblPr>
        <w:tblW w:w="489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1"/>
        <w:gridCol w:w="4131"/>
      </w:tblGrid>
      <w:tr w:rsidR="001A466E" w:rsidRPr="002B481C" w:rsidTr="005934B2">
        <w:tc>
          <w:tcPr>
            <w:tcW w:w="2794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 витрат</w:t>
            </w:r>
          </w:p>
        </w:tc>
        <w:tc>
          <w:tcPr>
            <w:tcW w:w="2206" w:type="pct"/>
          </w:tcPr>
          <w:p w:rsidR="001A466E" w:rsidRPr="002B481C" w:rsidRDefault="001A466E" w:rsidP="005934B2">
            <w:pPr>
              <w:pStyle w:val="a8"/>
              <w:ind w:hanging="10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2B48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Витрати на сплату податків та зборів (змінених/нововведених) (за рік), грн.</w:t>
            </w:r>
          </w:p>
        </w:tc>
      </w:tr>
      <w:tr w:rsidR="001A466E" w:rsidRPr="002B481C" w:rsidTr="005934B2">
        <w:tc>
          <w:tcPr>
            <w:tcW w:w="2794" w:type="pct"/>
          </w:tcPr>
          <w:p w:rsidR="001A466E" w:rsidRPr="002B481C" w:rsidRDefault="001A466E" w:rsidP="005934B2">
            <w:pPr>
              <w:pStyle w:val="a8"/>
              <w:ind w:left="-105" w:hanging="10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Податки та збори (зміна розміру податків/зборів, виникнення необхідності в сплаті податків/ зборів)</w:t>
            </w:r>
          </w:p>
        </w:tc>
        <w:tc>
          <w:tcPr>
            <w:tcW w:w="2206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13066,34</w:t>
            </w:r>
          </w:p>
        </w:tc>
      </w:tr>
    </w:tbl>
    <w:p w:rsidR="001A466E" w:rsidRPr="002B481C" w:rsidRDefault="001A466E" w:rsidP="001A466E">
      <w:pPr>
        <w:pStyle w:val="a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466E" w:rsidRPr="002B481C" w:rsidRDefault="001A466E" w:rsidP="001A466E">
      <w:pPr>
        <w:pStyle w:val="a8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B481C">
        <w:rPr>
          <w:rFonts w:ascii="Times New Roman" w:hAnsi="Times New Roman" w:cs="Times New Roman"/>
          <w:i/>
          <w:iCs/>
          <w:sz w:val="24"/>
          <w:szCs w:val="24"/>
          <w:lang w:val="ru-RU"/>
        </w:rPr>
        <w:t>*</w:t>
      </w:r>
      <w:r w:rsidRPr="002B481C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lang w:val="ru-RU" w:eastAsia="uk-UA"/>
        </w:rPr>
        <w:t xml:space="preserve">Згідно з розрахунком </w:t>
      </w:r>
      <w:r w:rsidRPr="002B481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витрат суб’єктів господарювання на податки та збори </w:t>
      </w:r>
      <w:r w:rsidRPr="002B481C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lang w:val="ru-RU" w:eastAsia="uk-UA"/>
        </w:rPr>
        <w:t xml:space="preserve">загальний розмір витрат суб’єктів господарювання великого й середнього підприємництва становить   </w:t>
      </w:r>
      <w:r>
        <w:rPr>
          <w:rFonts w:ascii="Times New Roman" w:hAnsi="Times New Roman" w:cs="Times New Roman"/>
          <w:sz w:val="24"/>
          <w:szCs w:val="24"/>
          <w:lang w:val="uk-UA"/>
        </w:rPr>
        <w:t>13066,34</w:t>
      </w:r>
      <w:r w:rsidRPr="002B481C">
        <w:rPr>
          <w:rStyle w:val="a3"/>
          <w:rFonts w:ascii="Times New Roman" w:hAnsi="Times New Roman" w:cs="Times New Roman"/>
          <w:i/>
          <w:iCs/>
          <w:sz w:val="24"/>
          <w:szCs w:val="24"/>
          <w:lang w:val="ru-RU" w:eastAsia="uk-UA"/>
        </w:rPr>
        <w:t>грн.</w:t>
      </w:r>
      <w:r w:rsidRPr="002B481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а в розрахунку на одного суб’єкта </w:t>
      </w:r>
      <w:r>
        <w:rPr>
          <w:rFonts w:ascii="Times New Roman" w:hAnsi="Times New Roman" w:cs="Times New Roman"/>
          <w:sz w:val="24"/>
          <w:szCs w:val="24"/>
          <w:lang w:val="uk-UA"/>
        </w:rPr>
        <w:t>13066,34</w:t>
      </w:r>
      <w:r w:rsidRPr="002B481C">
        <w:rPr>
          <w:rFonts w:ascii="Times New Roman" w:hAnsi="Times New Roman" w:cs="Times New Roman"/>
          <w:i/>
          <w:iCs/>
          <w:sz w:val="24"/>
          <w:szCs w:val="24"/>
          <w:lang w:val="ru-RU"/>
        </w:rPr>
        <w:t>грн.</w:t>
      </w:r>
    </w:p>
    <w:p w:rsidR="001A466E" w:rsidRPr="002B481C" w:rsidRDefault="001A466E" w:rsidP="001A466E">
      <w:pPr>
        <w:pStyle w:val="a8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tbl>
      <w:tblPr>
        <w:tblW w:w="4929" w:type="pct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26"/>
        <w:gridCol w:w="1793"/>
        <w:gridCol w:w="1927"/>
        <w:gridCol w:w="1853"/>
        <w:gridCol w:w="836"/>
      </w:tblGrid>
      <w:tr w:rsidR="001A466E" w:rsidRPr="002B481C" w:rsidTr="005934B2">
        <w:trPr>
          <w:tblHeader/>
        </w:trPr>
        <w:tc>
          <w:tcPr>
            <w:tcW w:w="1604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Вид витрат</w:t>
            </w:r>
          </w:p>
        </w:tc>
        <w:tc>
          <w:tcPr>
            <w:tcW w:w="950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Витрати часу на адміністрування заходів державного нагляду (контролю) </w:t>
            </w:r>
            <w:r w:rsidRPr="002B48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(за рік)</w:t>
            </w:r>
          </w:p>
        </w:tc>
        <w:tc>
          <w:tcPr>
            <w:tcW w:w="1021" w:type="pct"/>
          </w:tcPr>
          <w:p w:rsidR="001A466E" w:rsidRPr="002B481C" w:rsidRDefault="001A466E" w:rsidP="005934B2">
            <w:pPr>
              <w:pStyle w:val="a8"/>
              <w:ind w:left="-107" w:hanging="10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Витрати на оплату часу на адміністрування заходів державного нагляду (контролю) </w:t>
            </w:r>
            <w:r w:rsidRPr="002B48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(за рік)</w:t>
            </w:r>
          </w:p>
        </w:tc>
        <w:tc>
          <w:tcPr>
            <w:tcW w:w="982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2B48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443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Разом на 2020 рік</w:t>
            </w:r>
          </w:p>
        </w:tc>
      </w:tr>
    </w:tbl>
    <w:p w:rsidR="001A466E" w:rsidRPr="002B481C" w:rsidRDefault="001A466E" w:rsidP="001A466E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W w:w="492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26"/>
        <w:gridCol w:w="1793"/>
        <w:gridCol w:w="1927"/>
        <w:gridCol w:w="1853"/>
        <w:gridCol w:w="836"/>
      </w:tblGrid>
      <w:tr w:rsidR="001A466E" w:rsidRPr="002B481C" w:rsidTr="005934B2">
        <w:trPr>
          <w:tblHeader/>
        </w:trPr>
        <w:tc>
          <w:tcPr>
            <w:tcW w:w="1604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50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21" w:type="pct"/>
          </w:tcPr>
          <w:p w:rsidR="001A466E" w:rsidRPr="002B481C" w:rsidRDefault="001A466E" w:rsidP="005934B2">
            <w:pPr>
              <w:pStyle w:val="a8"/>
              <w:ind w:left="-107" w:hanging="10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82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43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1A466E" w:rsidRPr="002B481C" w:rsidTr="005934B2">
        <w:tc>
          <w:tcPr>
            <w:tcW w:w="1604" w:type="pct"/>
          </w:tcPr>
          <w:p w:rsidR="001A466E" w:rsidRPr="002B481C" w:rsidRDefault="001A466E" w:rsidP="005934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тощо), грн.:*</w:t>
            </w:r>
          </w:p>
          <w:p w:rsidR="001A466E" w:rsidRPr="002B481C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2B481C">
              <w:rPr>
                <w:sz w:val="24"/>
                <w:szCs w:val="24"/>
                <w:lang w:val="uk-UA"/>
              </w:rPr>
              <w:t>4</w:t>
            </w:r>
            <w:r w:rsidRPr="002B481C">
              <w:rPr>
                <w:sz w:val="24"/>
                <w:szCs w:val="24"/>
              </w:rPr>
              <w:t> </w:t>
            </w:r>
            <w:r w:rsidRPr="002B481C">
              <w:rPr>
                <w:sz w:val="24"/>
                <w:szCs w:val="24"/>
                <w:lang w:val="uk-UA"/>
              </w:rPr>
              <w:t xml:space="preserve">407 грн.** </w:t>
            </w:r>
            <w:r w:rsidRPr="002B481C">
              <w:rPr>
                <w:sz w:val="24"/>
                <w:szCs w:val="24"/>
              </w:rPr>
              <w:t>(мінімальна зарплата)</w:t>
            </w:r>
            <w:r w:rsidRPr="002B481C">
              <w:rPr>
                <w:sz w:val="24"/>
                <w:szCs w:val="24"/>
                <w:lang w:val="uk-UA"/>
              </w:rPr>
              <w:t xml:space="preserve"> </w:t>
            </w:r>
            <w:r w:rsidRPr="002B481C">
              <w:rPr>
                <w:sz w:val="24"/>
                <w:szCs w:val="24"/>
              </w:rPr>
              <w:sym w:font="Symbol" w:char="F03A"/>
            </w:r>
            <w:r w:rsidRPr="002B481C">
              <w:rPr>
                <w:sz w:val="24"/>
                <w:szCs w:val="24"/>
              </w:rPr>
              <w:t xml:space="preserve"> 160 год. </w:t>
            </w:r>
            <w:r w:rsidRPr="002B481C">
              <w:rPr>
                <w:sz w:val="24"/>
                <w:szCs w:val="24"/>
                <w:lang w:val="uk-UA"/>
              </w:rPr>
              <w:t>в</w:t>
            </w:r>
            <w:r w:rsidRPr="002B481C">
              <w:rPr>
                <w:sz w:val="24"/>
                <w:szCs w:val="24"/>
              </w:rPr>
              <w:t xml:space="preserve"> мі</w:t>
            </w:r>
            <w:r w:rsidRPr="002B481C">
              <w:rPr>
                <w:sz w:val="24"/>
                <w:szCs w:val="24"/>
                <w:lang w:val="uk-UA"/>
              </w:rPr>
              <w:t xml:space="preserve">-    </w:t>
            </w:r>
            <w:r w:rsidRPr="002B481C">
              <w:rPr>
                <w:sz w:val="24"/>
                <w:szCs w:val="24"/>
              </w:rPr>
              <w:t>сяць</w:t>
            </w:r>
            <w:r w:rsidRPr="002B481C">
              <w:rPr>
                <w:sz w:val="24"/>
                <w:szCs w:val="24"/>
                <w:lang w:val="uk-UA"/>
              </w:rPr>
              <w:t xml:space="preserve"> = 27,54 грн.</w:t>
            </w:r>
            <w:r w:rsidRPr="002B481C">
              <w:rPr>
                <w:sz w:val="24"/>
                <w:szCs w:val="24"/>
              </w:rPr>
              <w:t>;</w:t>
            </w:r>
            <w:r w:rsidRPr="002B481C">
              <w:rPr>
                <w:sz w:val="24"/>
                <w:szCs w:val="24"/>
                <w:lang w:val="uk-UA"/>
              </w:rPr>
              <w:t xml:space="preserve"> </w:t>
            </w:r>
          </w:p>
          <w:p w:rsidR="001A466E" w:rsidRPr="002B481C" w:rsidRDefault="001A466E" w:rsidP="005934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0,5 год.*** х 27,54 грн. = 13,77 грн.</w:t>
            </w:r>
          </w:p>
        </w:tc>
        <w:tc>
          <w:tcPr>
            <w:tcW w:w="950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27,54</w:t>
            </w:r>
          </w:p>
        </w:tc>
        <w:tc>
          <w:tcPr>
            <w:tcW w:w="982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Додаткових витрат не передбачено</w:t>
            </w:r>
          </w:p>
        </w:tc>
        <w:tc>
          <w:tcPr>
            <w:tcW w:w="443" w:type="pct"/>
          </w:tcPr>
          <w:p w:rsidR="001A466E" w:rsidRPr="002B481C" w:rsidRDefault="001A466E" w:rsidP="005934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C"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</w:tr>
    </w:tbl>
    <w:p w:rsidR="001A466E" w:rsidRPr="002B481C" w:rsidRDefault="001A466E" w:rsidP="001A466E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466E" w:rsidRPr="002B481C" w:rsidRDefault="001A466E" w:rsidP="001A466E">
      <w:pPr>
        <w:pStyle w:val="a8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B481C">
        <w:rPr>
          <w:rFonts w:ascii="Times New Roman" w:hAnsi="Times New Roman" w:cs="Times New Roman"/>
          <w:i/>
          <w:iCs/>
          <w:sz w:val="24"/>
          <w:szCs w:val="24"/>
          <w:lang w:val="ru-RU"/>
        </w:rPr>
        <w:t>*Вартість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p w:rsidR="001A466E" w:rsidRPr="002B481C" w:rsidRDefault="001A466E" w:rsidP="001A466E">
      <w:pPr>
        <w:jc w:val="both"/>
        <w:rPr>
          <w:i/>
          <w:iCs/>
          <w:color w:val="000000"/>
          <w:sz w:val="24"/>
          <w:szCs w:val="24"/>
          <w:lang w:val="uk-UA"/>
        </w:rPr>
      </w:pPr>
      <w:r w:rsidRPr="002B481C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**</w:t>
      </w:r>
      <w:r w:rsidRPr="002B481C">
        <w:rPr>
          <w:i/>
          <w:iCs/>
          <w:color w:val="000000"/>
          <w:sz w:val="24"/>
          <w:szCs w:val="24"/>
          <w:shd w:val="clear" w:color="auto" w:fill="FFFFFF"/>
          <w:lang w:val="uk-UA" w:eastAsia="uk-UA"/>
        </w:rPr>
        <w:t>Для розрахунку витрат використовується орієнтовний мінімальний розмір заробітної плати</w:t>
      </w:r>
      <w:r w:rsidRPr="002B481C">
        <w:rPr>
          <w:color w:val="FF0000"/>
          <w:sz w:val="24"/>
          <w:szCs w:val="24"/>
          <w:lang w:val="uk-UA"/>
        </w:rPr>
        <w:t xml:space="preserve"> </w:t>
      </w:r>
      <w:r w:rsidRPr="002B481C">
        <w:rPr>
          <w:i/>
          <w:iCs/>
          <w:color w:val="000000"/>
          <w:sz w:val="24"/>
          <w:szCs w:val="24"/>
          <w:shd w:val="clear" w:color="auto" w:fill="FFFFFF"/>
          <w:lang w:val="uk-UA" w:eastAsia="uk-UA"/>
        </w:rPr>
        <w:t>(</w:t>
      </w:r>
      <w:r w:rsidRPr="002B481C">
        <w:rPr>
          <w:i/>
          <w:iCs/>
          <w:color w:val="000000"/>
          <w:sz w:val="24"/>
          <w:szCs w:val="24"/>
          <w:lang w:val="uk-UA" w:eastAsia="uk-UA"/>
        </w:rPr>
        <w:t xml:space="preserve">лист Міністерства фінансів України від 03.08.2018 №05110-14-21/20720). </w:t>
      </w:r>
    </w:p>
    <w:p w:rsidR="001A466E" w:rsidRPr="002B481C" w:rsidRDefault="001A466E" w:rsidP="001A466E">
      <w:pPr>
        <w:jc w:val="both"/>
        <w:rPr>
          <w:i/>
          <w:iCs/>
          <w:sz w:val="24"/>
          <w:szCs w:val="24"/>
          <w:lang w:val="uk-UA"/>
        </w:rPr>
      </w:pPr>
      <w:r w:rsidRPr="002B481C">
        <w:rPr>
          <w:sz w:val="24"/>
          <w:szCs w:val="24"/>
          <w:lang w:val="uk-UA"/>
        </w:rPr>
        <w:t>***</w:t>
      </w:r>
      <w:r w:rsidRPr="002B481C">
        <w:rPr>
          <w:i/>
          <w:iCs/>
          <w:color w:val="000000"/>
          <w:sz w:val="24"/>
          <w:szCs w:val="24"/>
          <w:lang w:val="uk-UA" w:eastAsia="uk-UA"/>
        </w:rPr>
        <w:t>Орієнтовний розмір витрат часу, пов’язаних з адмініструванням</w:t>
      </w:r>
      <w:r w:rsidRPr="002B481C">
        <w:rPr>
          <w:i/>
          <w:iCs/>
          <w:sz w:val="24"/>
          <w:szCs w:val="24"/>
          <w:lang w:val="uk-UA"/>
        </w:rPr>
        <w:t xml:space="preserve"> заходів державного нагляду (контролю), становить 0,5 годин на процедуру .</w:t>
      </w:r>
    </w:p>
    <w:p w:rsidR="001A466E" w:rsidRPr="002B481C" w:rsidRDefault="001A466E" w:rsidP="001A466E">
      <w:pPr>
        <w:jc w:val="both"/>
        <w:rPr>
          <w:i/>
          <w:iCs/>
          <w:sz w:val="24"/>
          <w:szCs w:val="24"/>
          <w:lang w:val="uk-UA"/>
        </w:rPr>
      </w:pPr>
    </w:p>
    <w:tbl>
      <w:tblPr>
        <w:tblW w:w="4891" w:type="pct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04"/>
        <w:gridCol w:w="2341"/>
        <w:gridCol w:w="2616"/>
        <w:gridCol w:w="1101"/>
      </w:tblGrid>
      <w:tr w:rsidR="001A466E" w:rsidRPr="002B481C" w:rsidTr="005934B2">
        <w:tc>
          <w:tcPr>
            <w:tcW w:w="1765" w:type="pct"/>
          </w:tcPr>
          <w:p w:rsidR="001A466E" w:rsidRPr="002B481C" w:rsidRDefault="001A466E" w:rsidP="005934B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B481C">
              <w:rPr>
                <w:b/>
                <w:bCs/>
                <w:i/>
                <w:iCs/>
                <w:sz w:val="24"/>
                <w:szCs w:val="24"/>
              </w:rPr>
              <w:t>Вид витрат</w:t>
            </w:r>
          </w:p>
        </w:tc>
        <w:tc>
          <w:tcPr>
            <w:tcW w:w="1250" w:type="pct"/>
          </w:tcPr>
          <w:p w:rsidR="001A466E" w:rsidRPr="002B481C" w:rsidRDefault="001A466E" w:rsidP="005934B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B481C">
              <w:rPr>
                <w:b/>
                <w:bCs/>
                <w:i/>
                <w:iCs/>
                <w:sz w:val="24"/>
                <w:szCs w:val="24"/>
              </w:rPr>
              <w:t>В</w:t>
            </w:r>
            <w:r>
              <w:rPr>
                <w:b/>
                <w:bCs/>
                <w:i/>
                <w:iCs/>
                <w:sz w:val="24"/>
                <w:szCs w:val="24"/>
              </w:rPr>
              <w:t>итрати часу на ознайомлення з в</w:t>
            </w: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и</w:t>
            </w:r>
            <w:r w:rsidRPr="002B481C">
              <w:rPr>
                <w:b/>
                <w:bCs/>
                <w:i/>
                <w:iCs/>
                <w:sz w:val="24"/>
                <w:szCs w:val="24"/>
              </w:rPr>
              <w:t>могами державного регулювання, год.</w:t>
            </w:r>
          </w:p>
        </w:tc>
        <w:tc>
          <w:tcPr>
            <w:tcW w:w="1397" w:type="pct"/>
          </w:tcPr>
          <w:p w:rsidR="001A466E" w:rsidRPr="002B481C" w:rsidRDefault="001A466E" w:rsidP="005934B2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B481C">
              <w:rPr>
                <w:b/>
                <w:bCs/>
                <w:i/>
                <w:iCs/>
                <w:sz w:val="24"/>
                <w:szCs w:val="24"/>
              </w:rPr>
              <w:t xml:space="preserve">Витрати на оплату часу </w:t>
            </w:r>
            <w:r w:rsidRPr="002B481C">
              <w:rPr>
                <w:b/>
                <w:bCs/>
                <w:i/>
                <w:iCs/>
                <w:sz w:val="24"/>
                <w:szCs w:val="24"/>
                <w:lang w:val="uk-UA"/>
              </w:rPr>
              <w:t>н</w:t>
            </w:r>
            <w:r w:rsidRPr="002B481C">
              <w:rPr>
                <w:b/>
                <w:bCs/>
                <w:i/>
                <w:iCs/>
                <w:sz w:val="24"/>
                <w:szCs w:val="24"/>
              </w:rPr>
              <w:t>а ознайомлення з вимогами</w:t>
            </w:r>
            <w:r w:rsidRPr="002B481C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B481C">
              <w:rPr>
                <w:b/>
                <w:bCs/>
                <w:i/>
                <w:iCs/>
                <w:sz w:val="24"/>
                <w:szCs w:val="24"/>
              </w:rPr>
              <w:t xml:space="preserve">державного регулювання, грн. </w:t>
            </w:r>
          </w:p>
        </w:tc>
        <w:tc>
          <w:tcPr>
            <w:tcW w:w="588" w:type="pct"/>
          </w:tcPr>
          <w:p w:rsidR="001A466E" w:rsidRPr="002B481C" w:rsidRDefault="001A466E" w:rsidP="005934B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B481C">
              <w:rPr>
                <w:b/>
                <w:bCs/>
                <w:i/>
                <w:iCs/>
                <w:sz w:val="24"/>
                <w:szCs w:val="24"/>
              </w:rPr>
              <w:t>Разом на 20</w:t>
            </w:r>
            <w:r w:rsidRPr="002B481C">
              <w:rPr>
                <w:b/>
                <w:bCs/>
                <w:i/>
                <w:iCs/>
                <w:sz w:val="24"/>
                <w:szCs w:val="24"/>
                <w:lang w:val="uk-UA"/>
              </w:rPr>
              <w:t>20</w:t>
            </w:r>
            <w:r w:rsidRPr="002B481C">
              <w:rPr>
                <w:b/>
                <w:bCs/>
                <w:i/>
                <w:iCs/>
                <w:sz w:val="24"/>
                <w:szCs w:val="24"/>
              </w:rPr>
              <w:t xml:space="preserve"> рік</w:t>
            </w:r>
          </w:p>
        </w:tc>
      </w:tr>
    </w:tbl>
    <w:p w:rsidR="001A466E" w:rsidRPr="002B481C" w:rsidRDefault="001A466E" w:rsidP="001A466E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W w:w="489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04"/>
        <w:gridCol w:w="2341"/>
        <w:gridCol w:w="2616"/>
        <w:gridCol w:w="1101"/>
      </w:tblGrid>
      <w:tr w:rsidR="001A466E" w:rsidRPr="002B481C" w:rsidTr="005934B2">
        <w:tc>
          <w:tcPr>
            <w:tcW w:w="1765" w:type="pct"/>
          </w:tcPr>
          <w:p w:rsidR="001A466E" w:rsidRPr="002B481C" w:rsidRDefault="001A466E" w:rsidP="005934B2">
            <w:pPr>
              <w:jc w:val="both"/>
              <w:rPr>
                <w:sz w:val="24"/>
                <w:szCs w:val="24"/>
              </w:rPr>
            </w:pPr>
            <w:r w:rsidRPr="002B481C">
              <w:rPr>
                <w:sz w:val="24"/>
                <w:szCs w:val="24"/>
              </w:rPr>
              <w:t>Витрати, пов’язані з ознайом</w:t>
            </w:r>
            <w:r w:rsidRPr="002B481C">
              <w:rPr>
                <w:sz w:val="24"/>
                <w:szCs w:val="24"/>
                <w:lang w:val="uk-UA"/>
              </w:rPr>
              <w:t>-</w:t>
            </w:r>
            <w:r w:rsidRPr="002B481C">
              <w:rPr>
                <w:sz w:val="24"/>
                <w:szCs w:val="24"/>
              </w:rPr>
              <w:t>ленням з вимогами державного регулювання, грн.</w:t>
            </w:r>
            <w:r w:rsidRPr="002B481C">
              <w:rPr>
                <w:sz w:val="24"/>
                <w:szCs w:val="24"/>
                <w:lang w:val="uk-UA"/>
              </w:rPr>
              <w:t>:</w:t>
            </w:r>
            <w:r w:rsidRPr="002B481C">
              <w:rPr>
                <w:sz w:val="24"/>
                <w:szCs w:val="24"/>
              </w:rPr>
              <w:t>*</w:t>
            </w:r>
          </w:p>
          <w:p w:rsidR="001A466E" w:rsidRPr="002B481C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2B481C">
              <w:rPr>
                <w:sz w:val="24"/>
                <w:szCs w:val="24"/>
                <w:lang w:val="uk-UA"/>
              </w:rPr>
              <w:t>27,54</w:t>
            </w:r>
            <w:r w:rsidRPr="002B481C">
              <w:rPr>
                <w:sz w:val="24"/>
                <w:szCs w:val="24"/>
              </w:rPr>
              <w:t xml:space="preserve"> грн. = </w:t>
            </w:r>
            <w:r w:rsidRPr="002B481C">
              <w:rPr>
                <w:sz w:val="24"/>
                <w:szCs w:val="24"/>
                <w:lang w:val="uk-UA"/>
              </w:rPr>
              <w:t>4 407</w:t>
            </w:r>
            <w:r w:rsidRPr="002B481C">
              <w:rPr>
                <w:sz w:val="24"/>
                <w:szCs w:val="24"/>
              </w:rPr>
              <w:t xml:space="preserve"> грн.** (мінімальна зарплата) </w:t>
            </w:r>
            <w:r w:rsidRPr="002B481C">
              <w:rPr>
                <w:sz w:val="24"/>
                <w:szCs w:val="24"/>
              </w:rPr>
              <w:sym w:font="Symbol" w:char="F03A"/>
            </w:r>
            <w:r w:rsidRPr="002B481C">
              <w:rPr>
                <w:sz w:val="24"/>
                <w:szCs w:val="24"/>
              </w:rPr>
              <w:t xml:space="preserve"> 160 год. в місяць;</w:t>
            </w:r>
            <w:r w:rsidRPr="002B481C">
              <w:rPr>
                <w:sz w:val="24"/>
                <w:szCs w:val="24"/>
                <w:lang w:val="uk-UA"/>
              </w:rPr>
              <w:t xml:space="preserve"> </w:t>
            </w:r>
          </w:p>
          <w:p w:rsidR="001A466E" w:rsidRPr="002B481C" w:rsidRDefault="001A466E" w:rsidP="005934B2">
            <w:pPr>
              <w:jc w:val="both"/>
              <w:rPr>
                <w:sz w:val="24"/>
                <w:szCs w:val="24"/>
              </w:rPr>
            </w:pPr>
            <w:r w:rsidRPr="002B481C">
              <w:rPr>
                <w:sz w:val="24"/>
                <w:szCs w:val="24"/>
              </w:rPr>
              <w:t>0,</w:t>
            </w:r>
            <w:r w:rsidRPr="002B481C">
              <w:rPr>
                <w:sz w:val="24"/>
                <w:szCs w:val="24"/>
                <w:lang w:val="uk-UA"/>
              </w:rPr>
              <w:t>5</w:t>
            </w:r>
            <w:r w:rsidRPr="002B481C">
              <w:rPr>
                <w:sz w:val="24"/>
                <w:szCs w:val="24"/>
              </w:rPr>
              <w:t xml:space="preserve"> год. х 2</w:t>
            </w:r>
            <w:r w:rsidRPr="002B481C">
              <w:rPr>
                <w:sz w:val="24"/>
                <w:szCs w:val="24"/>
                <w:lang w:val="uk-UA"/>
              </w:rPr>
              <w:t>7</w:t>
            </w:r>
            <w:r w:rsidRPr="002B481C">
              <w:rPr>
                <w:sz w:val="24"/>
                <w:szCs w:val="24"/>
              </w:rPr>
              <w:t>,</w:t>
            </w:r>
            <w:r w:rsidRPr="002B481C">
              <w:rPr>
                <w:sz w:val="24"/>
                <w:szCs w:val="24"/>
                <w:lang w:val="uk-UA"/>
              </w:rPr>
              <w:t>54</w:t>
            </w:r>
            <w:r w:rsidRPr="002B481C">
              <w:rPr>
                <w:sz w:val="24"/>
                <w:szCs w:val="24"/>
              </w:rPr>
              <w:t xml:space="preserve"> грн. = </w:t>
            </w:r>
            <w:r w:rsidRPr="002B481C">
              <w:rPr>
                <w:sz w:val="24"/>
                <w:szCs w:val="24"/>
                <w:lang w:val="uk-UA"/>
              </w:rPr>
              <w:t>13,77</w:t>
            </w:r>
            <w:r w:rsidRPr="002B481C">
              <w:rPr>
                <w:sz w:val="24"/>
                <w:szCs w:val="24"/>
              </w:rPr>
              <w:t>грн.</w:t>
            </w:r>
          </w:p>
        </w:tc>
        <w:tc>
          <w:tcPr>
            <w:tcW w:w="1250" w:type="pct"/>
          </w:tcPr>
          <w:p w:rsidR="001A466E" w:rsidRPr="002B481C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 w:rsidRPr="002B481C">
              <w:rPr>
                <w:sz w:val="24"/>
                <w:szCs w:val="24"/>
              </w:rPr>
              <w:t>0,</w:t>
            </w:r>
            <w:r w:rsidRPr="002B481C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397" w:type="pct"/>
          </w:tcPr>
          <w:p w:rsidR="001A466E" w:rsidRPr="002B481C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 w:rsidRPr="002B481C">
              <w:rPr>
                <w:sz w:val="24"/>
                <w:szCs w:val="24"/>
                <w:lang w:val="uk-UA"/>
              </w:rPr>
              <w:t>27,54</w:t>
            </w:r>
          </w:p>
        </w:tc>
        <w:tc>
          <w:tcPr>
            <w:tcW w:w="588" w:type="pct"/>
          </w:tcPr>
          <w:p w:rsidR="001A466E" w:rsidRPr="002B481C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 w:rsidRPr="002B481C">
              <w:rPr>
                <w:sz w:val="24"/>
                <w:szCs w:val="24"/>
                <w:lang w:val="uk-UA"/>
              </w:rPr>
              <w:t>13,77</w:t>
            </w:r>
          </w:p>
        </w:tc>
      </w:tr>
    </w:tbl>
    <w:p w:rsidR="001A466E" w:rsidRPr="007D6C8A" w:rsidRDefault="001A466E" w:rsidP="001A466E">
      <w:pPr>
        <w:jc w:val="both"/>
        <w:rPr>
          <w:i/>
          <w:iCs/>
          <w:sz w:val="24"/>
          <w:szCs w:val="24"/>
          <w:lang w:val="uk-UA"/>
        </w:rPr>
      </w:pPr>
    </w:p>
    <w:p w:rsidR="001A466E" w:rsidRPr="007D6C8A" w:rsidRDefault="001A466E" w:rsidP="001A466E">
      <w:pPr>
        <w:jc w:val="both"/>
        <w:rPr>
          <w:i/>
          <w:iCs/>
          <w:sz w:val="24"/>
          <w:szCs w:val="24"/>
          <w:lang w:val="uk-UA"/>
        </w:rPr>
      </w:pPr>
      <w:r w:rsidRPr="007D6C8A">
        <w:rPr>
          <w:i/>
          <w:iCs/>
          <w:sz w:val="24"/>
          <w:szCs w:val="24"/>
          <w:lang w:val="uk-UA"/>
        </w:rPr>
        <w:t>*Вартість витрат, пов’язаних з ознайомленням з вимогами державного регулювання, визначається шляхом множення фактичних витрат часу персоналу на заробітну плату спеціаліста відповідної кваліфікації.</w:t>
      </w:r>
    </w:p>
    <w:p w:rsidR="001A466E" w:rsidRPr="007D6C8A" w:rsidRDefault="001A466E" w:rsidP="001A466E">
      <w:pPr>
        <w:jc w:val="both"/>
        <w:rPr>
          <w:i/>
          <w:iCs/>
          <w:color w:val="000000"/>
          <w:sz w:val="24"/>
          <w:szCs w:val="24"/>
          <w:lang w:val="uk-UA"/>
        </w:rPr>
      </w:pPr>
      <w:r w:rsidRPr="007D6C8A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**</w:t>
      </w:r>
      <w:r w:rsidRPr="007D6C8A">
        <w:rPr>
          <w:i/>
          <w:iCs/>
          <w:color w:val="000000"/>
          <w:sz w:val="24"/>
          <w:szCs w:val="24"/>
          <w:shd w:val="clear" w:color="auto" w:fill="FFFFFF"/>
          <w:lang w:val="uk-UA" w:eastAsia="uk-UA"/>
        </w:rPr>
        <w:t>Для розрахунку витрат використовується орієнтовний мінімальний розмір заробітної плати</w:t>
      </w:r>
      <w:r w:rsidRPr="007D6C8A">
        <w:rPr>
          <w:color w:val="FF0000"/>
          <w:sz w:val="24"/>
          <w:szCs w:val="24"/>
          <w:lang w:val="uk-UA"/>
        </w:rPr>
        <w:t xml:space="preserve"> </w:t>
      </w:r>
      <w:r w:rsidRPr="007D6C8A">
        <w:rPr>
          <w:i/>
          <w:iCs/>
          <w:color w:val="000000"/>
          <w:sz w:val="24"/>
          <w:szCs w:val="24"/>
          <w:shd w:val="clear" w:color="auto" w:fill="FFFFFF"/>
          <w:lang w:val="uk-UA" w:eastAsia="uk-UA"/>
        </w:rPr>
        <w:t>(</w:t>
      </w:r>
      <w:r w:rsidRPr="007D6C8A">
        <w:rPr>
          <w:i/>
          <w:iCs/>
          <w:color w:val="000000"/>
          <w:sz w:val="24"/>
          <w:szCs w:val="24"/>
          <w:lang w:val="uk-UA" w:eastAsia="uk-UA"/>
        </w:rPr>
        <w:t>лист Міністерства фінансів України від 03.08.2018 №05110-14-21/20720).</w:t>
      </w:r>
    </w:p>
    <w:tbl>
      <w:tblPr>
        <w:tblW w:w="489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9"/>
        <w:gridCol w:w="1927"/>
        <w:gridCol w:w="1790"/>
        <w:gridCol w:w="1376"/>
      </w:tblGrid>
      <w:tr w:rsidR="001A466E" w:rsidRPr="007D6C8A" w:rsidTr="005934B2">
        <w:tc>
          <w:tcPr>
            <w:tcW w:w="2280" w:type="pct"/>
          </w:tcPr>
          <w:p w:rsidR="001A466E" w:rsidRPr="007D6C8A" w:rsidRDefault="001A466E" w:rsidP="005934B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6C8A">
              <w:rPr>
                <w:b/>
                <w:bCs/>
                <w:i/>
                <w:iCs/>
                <w:sz w:val="24"/>
                <w:szCs w:val="24"/>
              </w:rPr>
              <w:t>Вид витрат</w:t>
            </w:r>
          </w:p>
        </w:tc>
        <w:tc>
          <w:tcPr>
            <w:tcW w:w="1029" w:type="pct"/>
          </w:tcPr>
          <w:p w:rsidR="001A466E" w:rsidRPr="007D6C8A" w:rsidRDefault="001A466E" w:rsidP="005934B2">
            <w:pPr>
              <w:ind w:left="-108" w:right="-109" w:hanging="10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6C8A">
              <w:rPr>
                <w:b/>
                <w:bCs/>
                <w:i/>
                <w:iCs/>
                <w:sz w:val="24"/>
                <w:szCs w:val="24"/>
              </w:rPr>
              <w:t xml:space="preserve">Витрати на </w:t>
            </w:r>
            <w:r w:rsidRPr="007D6C8A">
              <w:rPr>
                <w:b/>
                <w:bCs/>
                <w:i/>
                <w:iCs/>
                <w:sz w:val="24"/>
                <w:szCs w:val="24"/>
              </w:rPr>
              <w:lastRenderedPageBreak/>
              <w:t>проходження відповідних процедур (витрати часу, витрати на експертизи тощо)</w:t>
            </w:r>
          </w:p>
        </w:tc>
        <w:tc>
          <w:tcPr>
            <w:tcW w:w="956" w:type="pct"/>
          </w:tcPr>
          <w:p w:rsidR="001A466E" w:rsidRPr="007D6C8A" w:rsidRDefault="001A466E" w:rsidP="005934B2">
            <w:pPr>
              <w:ind w:left="-107" w:right="-108" w:hanging="107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6C8A">
              <w:rPr>
                <w:b/>
                <w:bCs/>
                <w:i/>
                <w:iCs/>
                <w:sz w:val="24"/>
                <w:szCs w:val="24"/>
              </w:rPr>
              <w:lastRenderedPageBreak/>
              <w:t>Витрати без-</w:t>
            </w:r>
            <w:r w:rsidRPr="007D6C8A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посередньо на отримання дозволів, ліцензій, сертифікатів, страхових полісів </w:t>
            </w:r>
          </w:p>
        </w:tc>
        <w:tc>
          <w:tcPr>
            <w:tcW w:w="735" w:type="pct"/>
          </w:tcPr>
          <w:p w:rsidR="001A466E" w:rsidRPr="007D6C8A" w:rsidRDefault="001A466E" w:rsidP="005934B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6C8A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Разом на </w:t>
            </w:r>
            <w:r w:rsidRPr="007D6C8A">
              <w:rPr>
                <w:b/>
                <w:bCs/>
                <w:i/>
                <w:iCs/>
                <w:sz w:val="24"/>
                <w:szCs w:val="24"/>
              </w:rPr>
              <w:lastRenderedPageBreak/>
              <w:t>20</w:t>
            </w:r>
            <w:r w:rsidRPr="007D6C8A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20 </w:t>
            </w:r>
            <w:r w:rsidRPr="007D6C8A">
              <w:rPr>
                <w:b/>
                <w:bCs/>
                <w:i/>
                <w:iCs/>
                <w:sz w:val="24"/>
                <w:szCs w:val="24"/>
              </w:rPr>
              <w:t xml:space="preserve">рік </w:t>
            </w:r>
          </w:p>
        </w:tc>
      </w:tr>
      <w:tr w:rsidR="001A466E" w:rsidRPr="007D6C8A" w:rsidTr="005934B2">
        <w:tc>
          <w:tcPr>
            <w:tcW w:w="2280" w:type="pct"/>
          </w:tcPr>
          <w:p w:rsidR="001A466E" w:rsidRPr="007D6C8A" w:rsidRDefault="001A466E" w:rsidP="005934B2">
            <w:pPr>
              <w:ind w:left="-108"/>
              <w:jc w:val="both"/>
              <w:rPr>
                <w:sz w:val="24"/>
                <w:szCs w:val="24"/>
              </w:rPr>
            </w:pPr>
            <w:r w:rsidRPr="007D6C8A">
              <w:rPr>
                <w:sz w:val="24"/>
                <w:szCs w:val="24"/>
              </w:rPr>
              <w:lastRenderedPageBreak/>
              <w:t>Витрати на отримання адміністративних (дозволів, ліцензій, сертифікатів, атестатів, погоджень, висновків, проведення незалежних/обов’язкових експертиз, серти</w:t>
            </w:r>
            <w:r w:rsidRPr="007D6C8A">
              <w:rPr>
                <w:sz w:val="24"/>
                <w:szCs w:val="24"/>
                <w:lang w:val="uk-UA"/>
              </w:rPr>
              <w:t>-</w:t>
            </w:r>
            <w:r w:rsidRPr="007D6C8A">
              <w:rPr>
                <w:sz w:val="24"/>
                <w:szCs w:val="24"/>
              </w:rPr>
              <w:t>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1029" w:type="pct"/>
          </w:tcPr>
          <w:p w:rsidR="001A466E" w:rsidRPr="007D6C8A" w:rsidRDefault="001A466E" w:rsidP="005934B2">
            <w:pPr>
              <w:jc w:val="center"/>
              <w:rPr>
                <w:sz w:val="24"/>
                <w:szCs w:val="24"/>
              </w:rPr>
            </w:pPr>
            <w:r w:rsidRPr="007D6C8A">
              <w:rPr>
                <w:sz w:val="24"/>
                <w:szCs w:val="24"/>
              </w:rPr>
              <w:t>Податок не є новим, додаткових витрат не передбачено</w:t>
            </w:r>
          </w:p>
        </w:tc>
        <w:tc>
          <w:tcPr>
            <w:tcW w:w="956" w:type="pct"/>
          </w:tcPr>
          <w:p w:rsidR="001A466E" w:rsidRPr="007D6C8A" w:rsidRDefault="001A466E" w:rsidP="005934B2">
            <w:pPr>
              <w:jc w:val="center"/>
              <w:rPr>
                <w:sz w:val="24"/>
                <w:szCs w:val="24"/>
              </w:rPr>
            </w:pPr>
            <w:r w:rsidRPr="007D6C8A">
              <w:rPr>
                <w:sz w:val="24"/>
                <w:szCs w:val="24"/>
              </w:rPr>
              <w:t>Податок не є новим, додаткових витрат не передбачено</w:t>
            </w:r>
          </w:p>
        </w:tc>
        <w:tc>
          <w:tcPr>
            <w:tcW w:w="735" w:type="pct"/>
          </w:tcPr>
          <w:p w:rsidR="001A466E" w:rsidRPr="007D6C8A" w:rsidRDefault="001A466E" w:rsidP="005934B2">
            <w:pPr>
              <w:jc w:val="center"/>
              <w:rPr>
                <w:sz w:val="24"/>
                <w:szCs w:val="24"/>
              </w:rPr>
            </w:pPr>
            <w:r w:rsidRPr="007D6C8A">
              <w:rPr>
                <w:sz w:val="24"/>
                <w:szCs w:val="24"/>
              </w:rPr>
              <w:t>Податок не є новим, додаткових витрат не пер</w:t>
            </w:r>
            <w:r w:rsidRPr="007D6C8A">
              <w:rPr>
                <w:sz w:val="24"/>
                <w:szCs w:val="24"/>
                <w:lang w:val="uk-UA"/>
              </w:rPr>
              <w:t>е</w:t>
            </w:r>
            <w:r w:rsidRPr="007D6C8A">
              <w:rPr>
                <w:sz w:val="24"/>
                <w:szCs w:val="24"/>
              </w:rPr>
              <w:t>дбачено</w:t>
            </w:r>
          </w:p>
        </w:tc>
      </w:tr>
    </w:tbl>
    <w:p w:rsidR="001A466E" w:rsidRPr="007D6C8A" w:rsidRDefault="001A466E" w:rsidP="001A466E">
      <w:pPr>
        <w:ind w:left="720"/>
        <w:jc w:val="right"/>
        <w:rPr>
          <w:i/>
          <w:iCs/>
          <w:sz w:val="24"/>
          <w:szCs w:val="24"/>
          <w:lang w:val="uk-UA"/>
        </w:rPr>
      </w:pPr>
    </w:p>
    <w:tbl>
      <w:tblPr>
        <w:tblW w:w="489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1"/>
        <w:gridCol w:w="3441"/>
      </w:tblGrid>
      <w:tr w:rsidR="001A466E" w:rsidRPr="007D6C8A" w:rsidTr="005934B2">
        <w:tc>
          <w:tcPr>
            <w:tcW w:w="3162" w:type="pct"/>
          </w:tcPr>
          <w:p w:rsidR="001A466E" w:rsidRPr="007D6C8A" w:rsidRDefault="001A466E" w:rsidP="005934B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6C8A">
              <w:rPr>
                <w:b/>
                <w:bCs/>
                <w:i/>
                <w:iCs/>
                <w:sz w:val="24"/>
                <w:szCs w:val="24"/>
              </w:rPr>
              <w:t>Вид витрат</w:t>
            </w:r>
          </w:p>
        </w:tc>
        <w:tc>
          <w:tcPr>
            <w:tcW w:w="1838" w:type="pct"/>
          </w:tcPr>
          <w:p w:rsidR="001A466E" w:rsidRPr="007D6C8A" w:rsidRDefault="001A466E" w:rsidP="005934B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6C8A">
              <w:rPr>
                <w:b/>
                <w:bCs/>
                <w:i/>
                <w:iCs/>
                <w:sz w:val="24"/>
                <w:szCs w:val="24"/>
              </w:rPr>
              <w:t>На 20</w:t>
            </w:r>
            <w:r w:rsidRPr="007D6C8A">
              <w:rPr>
                <w:b/>
                <w:bCs/>
                <w:i/>
                <w:iCs/>
                <w:sz w:val="24"/>
                <w:szCs w:val="24"/>
                <w:lang w:val="uk-UA"/>
              </w:rPr>
              <w:t>20</w:t>
            </w:r>
            <w:r w:rsidRPr="007D6C8A">
              <w:rPr>
                <w:b/>
                <w:bCs/>
                <w:i/>
                <w:iCs/>
                <w:sz w:val="24"/>
                <w:szCs w:val="24"/>
              </w:rPr>
              <w:t xml:space="preserve"> рік</w:t>
            </w:r>
          </w:p>
        </w:tc>
      </w:tr>
      <w:tr w:rsidR="001A466E" w:rsidRPr="007D6C8A" w:rsidTr="005934B2">
        <w:tc>
          <w:tcPr>
            <w:tcW w:w="3162" w:type="pct"/>
          </w:tcPr>
          <w:p w:rsidR="001A466E" w:rsidRPr="007D6C8A" w:rsidRDefault="001A466E" w:rsidP="005934B2">
            <w:pPr>
              <w:jc w:val="both"/>
              <w:rPr>
                <w:sz w:val="24"/>
                <w:szCs w:val="24"/>
              </w:rPr>
            </w:pPr>
            <w:r w:rsidRPr="007D6C8A">
              <w:rPr>
                <w:sz w:val="24"/>
                <w:szCs w:val="24"/>
              </w:rPr>
              <w:t>Витрати на оборотні акт</w:t>
            </w:r>
            <w:r>
              <w:rPr>
                <w:sz w:val="24"/>
                <w:szCs w:val="24"/>
              </w:rPr>
              <w:t>иви (матеріали, канцелярські то</w:t>
            </w:r>
            <w:r w:rsidRPr="007D6C8A">
              <w:rPr>
                <w:sz w:val="24"/>
                <w:szCs w:val="24"/>
              </w:rPr>
              <w:t>вари тощо)</w:t>
            </w:r>
          </w:p>
        </w:tc>
        <w:tc>
          <w:tcPr>
            <w:tcW w:w="1838" w:type="pct"/>
          </w:tcPr>
          <w:p w:rsidR="001A466E" w:rsidRPr="007D6C8A" w:rsidRDefault="001A466E" w:rsidP="005934B2">
            <w:pPr>
              <w:jc w:val="both"/>
              <w:rPr>
                <w:sz w:val="24"/>
                <w:szCs w:val="24"/>
              </w:rPr>
            </w:pPr>
            <w:r w:rsidRPr="007D6C8A">
              <w:rPr>
                <w:sz w:val="24"/>
                <w:szCs w:val="24"/>
              </w:rPr>
              <w:t>Додаткових витрат не передбачено</w:t>
            </w:r>
          </w:p>
        </w:tc>
      </w:tr>
    </w:tbl>
    <w:p w:rsidR="001A466E" w:rsidRDefault="001A466E" w:rsidP="001A466E">
      <w:pPr>
        <w:jc w:val="right"/>
        <w:rPr>
          <w:i/>
          <w:iCs/>
          <w:sz w:val="24"/>
          <w:szCs w:val="24"/>
          <w:lang w:val="uk-UA"/>
        </w:rPr>
      </w:pPr>
    </w:p>
    <w:p w:rsidR="001A466E" w:rsidRDefault="001A466E" w:rsidP="001A466E">
      <w:pPr>
        <w:jc w:val="right"/>
        <w:rPr>
          <w:i/>
          <w:iCs/>
          <w:sz w:val="24"/>
          <w:szCs w:val="24"/>
          <w:lang w:val="uk-UA"/>
        </w:rPr>
      </w:pPr>
    </w:p>
    <w:p w:rsidR="001A466E" w:rsidRDefault="001A466E" w:rsidP="001A466E">
      <w:pPr>
        <w:jc w:val="right"/>
        <w:rPr>
          <w:i/>
          <w:iCs/>
          <w:sz w:val="24"/>
          <w:szCs w:val="24"/>
          <w:lang w:val="uk-UA"/>
        </w:rPr>
      </w:pPr>
    </w:p>
    <w:p w:rsidR="001A466E" w:rsidRPr="00016AE0" w:rsidRDefault="001A466E" w:rsidP="001A466E">
      <w:pPr>
        <w:jc w:val="right"/>
        <w:rPr>
          <w:i/>
          <w:iCs/>
          <w:sz w:val="24"/>
          <w:szCs w:val="24"/>
          <w:lang w:val="uk-UA"/>
        </w:rPr>
      </w:pPr>
    </w:p>
    <w:tbl>
      <w:tblPr>
        <w:tblW w:w="489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70"/>
        <w:gridCol w:w="3992"/>
      </w:tblGrid>
      <w:tr w:rsidR="001A466E" w:rsidRPr="007D6C8A" w:rsidTr="005934B2">
        <w:tc>
          <w:tcPr>
            <w:tcW w:w="2868" w:type="pct"/>
          </w:tcPr>
          <w:p w:rsidR="001A466E" w:rsidRPr="007D6C8A" w:rsidRDefault="001A466E" w:rsidP="005934B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6C8A">
              <w:rPr>
                <w:b/>
                <w:bCs/>
                <w:i/>
                <w:iCs/>
                <w:sz w:val="24"/>
                <w:szCs w:val="24"/>
              </w:rPr>
              <w:t>Вид витрат</w:t>
            </w:r>
          </w:p>
        </w:tc>
        <w:tc>
          <w:tcPr>
            <w:tcW w:w="2132" w:type="pct"/>
          </w:tcPr>
          <w:p w:rsidR="001A466E" w:rsidRPr="007D6C8A" w:rsidRDefault="001A466E" w:rsidP="005934B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6C8A">
              <w:rPr>
                <w:b/>
                <w:bCs/>
                <w:i/>
                <w:iCs/>
                <w:sz w:val="24"/>
                <w:szCs w:val="24"/>
              </w:rPr>
              <w:t>Витрати на оплату праці додатково найманого персоналу (за рік)</w:t>
            </w:r>
          </w:p>
        </w:tc>
      </w:tr>
      <w:tr w:rsidR="001A466E" w:rsidRPr="007D6C8A" w:rsidTr="005934B2">
        <w:trPr>
          <w:trHeight w:val="296"/>
        </w:trPr>
        <w:tc>
          <w:tcPr>
            <w:tcW w:w="2868" w:type="pct"/>
          </w:tcPr>
          <w:p w:rsidR="001A466E" w:rsidRPr="00016AE0" w:rsidRDefault="001A466E" w:rsidP="005934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Витрати, пов’язані з наймом додаткового персоналу</w:t>
            </w:r>
          </w:p>
        </w:tc>
        <w:tc>
          <w:tcPr>
            <w:tcW w:w="2132" w:type="pct"/>
          </w:tcPr>
          <w:p w:rsidR="001A466E" w:rsidRPr="00016AE0" w:rsidRDefault="001A466E" w:rsidP="005934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E0">
              <w:rPr>
                <w:rFonts w:ascii="Times New Roman" w:hAnsi="Times New Roman" w:cs="Times New Roman"/>
                <w:sz w:val="24"/>
                <w:szCs w:val="24"/>
              </w:rPr>
              <w:t>Додаткових витрат не передбачено</w:t>
            </w:r>
          </w:p>
        </w:tc>
      </w:tr>
    </w:tbl>
    <w:p w:rsidR="001A466E" w:rsidRPr="007D6C8A" w:rsidRDefault="001A466E" w:rsidP="001A466E">
      <w:pPr>
        <w:pStyle w:val="a8"/>
        <w:jc w:val="center"/>
        <w:rPr>
          <w:b/>
          <w:bCs/>
          <w:i/>
          <w:iCs/>
        </w:rPr>
      </w:pPr>
    </w:p>
    <w:p w:rsidR="001A466E" w:rsidRPr="007D6C8A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7D6C8A">
        <w:rPr>
          <w:sz w:val="24"/>
          <w:szCs w:val="24"/>
          <w:lang w:val="uk-UA"/>
        </w:rPr>
        <w:t xml:space="preserve">Питома вага суб’єктів малого підприємництва (мікро) у загальній кількості суб’єктів господарювання, на яких поширюється дія регуляторного  акта,  складає  </w:t>
      </w:r>
      <w:r>
        <w:rPr>
          <w:sz w:val="24"/>
          <w:szCs w:val="24"/>
          <w:lang w:val="uk-UA"/>
        </w:rPr>
        <w:t>99,88</w:t>
      </w:r>
      <w:r w:rsidRPr="007D6C8A">
        <w:rPr>
          <w:sz w:val="24"/>
          <w:szCs w:val="24"/>
          <w:lang w:val="uk-UA"/>
        </w:rPr>
        <w:t xml:space="preserve"> відсотків.  У  зв’язку  з  тим,  що  питома  вага суб’єктів  малого  підприємництва  в  загальній  кількості  суб’єктів господарювання, на яких поширюється дія регуляторного акта, перевищує 10%, здійснено розрахунок на запровадження державного регулювання для суб’єктів малого підприємництва (додаток до аналізу впливу регуляторного акта (Тест малого підприємництва( М-Тест)).</w:t>
      </w:r>
    </w:p>
    <w:p w:rsidR="001A466E" w:rsidRPr="00520256" w:rsidRDefault="001A466E" w:rsidP="001A466E">
      <w:pPr>
        <w:ind w:firstLine="426"/>
        <w:jc w:val="both"/>
        <w:rPr>
          <w:b/>
          <w:bCs/>
          <w:sz w:val="24"/>
          <w:szCs w:val="24"/>
          <w:lang w:val="uk-UA"/>
        </w:rPr>
      </w:pPr>
    </w:p>
    <w:p w:rsidR="001A466E" w:rsidRPr="00B41EB4" w:rsidRDefault="001A466E" w:rsidP="001A466E">
      <w:pPr>
        <w:ind w:firstLine="426"/>
        <w:jc w:val="both"/>
        <w:rPr>
          <w:b/>
          <w:bCs/>
          <w:sz w:val="24"/>
          <w:szCs w:val="24"/>
          <w:lang w:val="uk-UA"/>
        </w:rPr>
      </w:pPr>
      <w:r w:rsidRPr="00B41EB4">
        <w:rPr>
          <w:b/>
          <w:bCs/>
          <w:sz w:val="24"/>
          <w:szCs w:val="24"/>
          <w:lang w:val="uk-UA"/>
        </w:rPr>
        <w:t>7.Обгрунтування запропонованого строку дії регуляторного акта</w:t>
      </w:r>
    </w:p>
    <w:p w:rsidR="001A466E" w:rsidRPr="00B41EB4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>Строк дії регуляторного акта з 1 січня по 31 грудня 2020 року.</w:t>
      </w:r>
    </w:p>
    <w:p w:rsidR="001A466E" w:rsidRPr="00B41EB4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>Регуляторний акт має обмежений строк дії, що обумовлено чинністю існуючої  правової  бази  вищого  рівня  та  може  бути  переглянутий  чи скасований при її зміні.</w:t>
      </w:r>
    </w:p>
    <w:p w:rsidR="001A466E" w:rsidRPr="00B41EB4" w:rsidRDefault="001A466E" w:rsidP="001A466E">
      <w:pPr>
        <w:ind w:firstLine="426"/>
        <w:jc w:val="both"/>
        <w:rPr>
          <w:b/>
          <w:bCs/>
          <w:sz w:val="24"/>
          <w:szCs w:val="24"/>
          <w:lang w:val="uk-UA"/>
        </w:rPr>
      </w:pPr>
      <w:r w:rsidRPr="00B41EB4">
        <w:rPr>
          <w:b/>
          <w:bCs/>
          <w:sz w:val="24"/>
          <w:szCs w:val="24"/>
          <w:lang w:val="uk-UA"/>
        </w:rPr>
        <w:t>8.Визначення показників результативності дії регуляторного акта</w:t>
      </w:r>
    </w:p>
    <w:p w:rsidR="001A466E" w:rsidRPr="00B41EB4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>Для  визначення  результативності  цього  регуляторного  акта пропонується встановити такі статистичні показники:</w:t>
      </w:r>
    </w:p>
    <w:p w:rsidR="001A466E" w:rsidRPr="00B41EB4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>- кількість платників туристичного збору, осіб;</w:t>
      </w:r>
    </w:p>
    <w:p w:rsidR="001A466E" w:rsidRPr="00B41EB4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>- розмір надходжень туристичного збору до бюджету міста, грн.;</w:t>
      </w:r>
    </w:p>
    <w:p w:rsidR="001A466E" w:rsidRPr="00B41EB4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>- розмір коштів і час, що витрачаються суб’єктами господарювання, пов’язаними з виконанням вимог акта;</w:t>
      </w:r>
    </w:p>
    <w:p w:rsidR="001A466E" w:rsidRPr="00B41EB4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>-  рівень  поінформованості  суб’єктів  господарювання  з  основних положень акта  (оприлюднення рішення про встановлення ставок туристичного збору в друкованих і електронних ЗМІ територіальної громади міста).</w:t>
      </w:r>
    </w:p>
    <w:p w:rsidR="001A466E" w:rsidRPr="00B41EB4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lastRenderedPageBreak/>
        <w:t>Для визначення ступеня досягнення очікуваних результатів та цілей регулювання слід застосувати прогнозні показники результативності.</w:t>
      </w:r>
    </w:p>
    <w:p w:rsidR="001A466E" w:rsidRPr="00B41EB4" w:rsidRDefault="001A466E" w:rsidP="001A466E">
      <w:pPr>
        <w:ind w:firstLine="426"/>
        <w:jc w:val="both"/>
        <w:rPr>
          <w:i/>
          <w:iCs/>
          <w:sz w:val="24"/>
          <w:szCs w:val="24"/>
          <w:lang w:val="uk-UA"/>
        </w:rPr>
      </w:pPr>
      <w:r w:rsidRPr="00B41EB4">
        <w:rPr>
          <w:i/>
          <w:iCs/>
          <w:sz w:val="24"/>
          <w:szCs w:val="24"/>
          <w:lang w:val="uk-UA"/>
        </w:rPr>
        <w:t>Прогнозні значення статистичних показників:</w:t>
      </w:r>
    </w:p>
    <w:p w:rsidR="001A466E" w:rsidRPr="00B41EB4" w:rsidRDefault="001A466E" w:rsidP="001A466E">
      <w:pPr>
        <w:tabs>
          <w:tab w:val="left" w:pos="2910"/>
        </w:tabs>
        <w:ind w:firstLine="426"/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1"/>
        <w:gridCol w:w="4502"/>
      </w:tblGrid>
      <w:tr w:rsidR="001A466E" w:rsidRPr="00B41EB4" w:rsidTr="005934B2">
        <w:tc>
          <w:tcPr>
            <w:tcW w:w="4501" w:type="dxa"/>
          </w:tcPr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 xml:space="preserve">Назва показника </w:t>
            </w:r>
          </w:p>
        </w:tc>
        <w:tc>
          <w:tcPr>
            <w:tcW w:w="4502" w:type="dxa"/>
          </w:tcPr>
          <w:p w:rsidR="001A466E" w:rsidRPr="00B41EB4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>2020 рік</w:t>
            </w:r>
          </w:p>
        </w:tc>
      </w:tr>
      <w:tr w:rsidR="001A466E" w:rsidRPr="00B41EB4" w:rsidTr="005934B2">
        <w:tc>
          <w:tcPr>
            <w:tcW w:w="4501" w:type="dxa"/>
          </w:tcPr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 xml:space="preserve">Кількість платників туристичного збору, осіб; </w:t>
            </w:r>
          </w:p>
        </w:tc>
        <w:tc>
          <w:tcPr>
            <w:tcW w:w="4502" w:type="dxa"/>
          </w:tcPr>
          <w:p w:rsidR="001A466E" w:rsidRPr="00B41EB4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</w:tr>
      <w:tr w:rsidR="001A466E" w:rsidRPr="00B41EB4" w:rsidTr="005934B2">
        <w:tc>
          <w:tcPr>
            <w:tcW w:w="4501" w:type="dxa"/>
          </w:tcPr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>Розмір надходжень туристичного збору до бюджету міста, тис.грн.</w:t>
            </w:r>
          </w:p>
        </w:tc>
        <w:tc>
          <w:tcPr>
            <w:tcW w:w="4502" w:type="dxa"/>
          </w:tcPr>
          <w:p w:rsidR="001A466E" w:rsidRPr="00B41EB4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30,0</w:t>
            </w:r>
          </w:p>
        </w:tc>
      </w:tr>
      <w:tr w:rsidR="001A466E" w:rsidRPr="00B41EB4" w:rsidTr="005934B2">
        <w:tc>
          <w:tcPr>
            <w:tcW w:w="4501" w:type="dxa"/>
          </w:tcPr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>Розмір  коштів  і  час,  що  витрачаються  суб’єктами господарювання,  пов’язаними  з  виконанням  вимог  акта*,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41EB4">
              <w:rPr>
                <w:sz w:val="24"/>
                <w:szCs w:val="24"/>
                <w:lang w:val="uk-UA"/>
              </w:rPr>
              <w:t>тис.грн./годин</w:t>
            </w:r>
          </w:p>
        </w:tc>
        <w:tc>
          <w:tcPr>
            <w:tcW w:w="4502" w:type="dxa"/>
          </w:tcPr>
          <w:p w:rsidR="001A466E" w:rsidRPr="000D6863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 w:rsidRPr="000D6863">
              <w:rPr>
                <w:sz w:val="24"/>
                <w:szCs w:val="24"/>
                <w:lang w:val="uk-UA"/>
              </w:rPr>
              <w:t>23,7 /6,8</w:t>
            </w:r>
          </w:p>
          <w:p w:rsidR="001A466E" w:rsidRPr="00B41EB4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A466E" w:rsidRPr="00B41EB4" w:rsidTr="005934B2">
        <w:tc>
          <w:tcPr>
            <w:tcW w:w="4501" w:type="dxa"/>
          </w:tcPr>
          <w:p w:rsidR="001A466E" w:rsidRPr="00B41EB4" w:rsidRDefault="001A466E" w:rsidP="005934B2">
            <w:pPr>
              <w:jc w:val="both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>Рівень  поінформованості  суб’єктів  господарювання  з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41EB4">
              <w:rPr>
                <w:sz w:val="24"/>
                <w:szCs w:val="24"/>
                <w:lang w:val="uk-UA"/>
              </w:rPr>
              <w:t>основних положень акта,%</w:t>
            </w:r>
          </w:p>
        </w:tc>
        <w:tc>
          <w:tcPr>
            <w:tcW w:w="4502" w:type="dxa"/>
          </w:tcPr>
          <w:p w:rsidR="001A466E" w:rsidRPr="00B41EB4" w:rsidRDefault="001A466E" w:rsidP="005934B2">
            <w:pPr>
              <w:jc w:val="center"/>
              <w:rPr>
                <w:sz w:val="24"/>
                <w:szCs w:val="24"/>
                <w:lang w:val="uk-UA"/>
              </w:rPr>
            </w:pPr>
            <w:r w:rsidRPr="00B41EB4">
              <w:rPr>
                <w:sz w:val="24"/>
                <w:szCs w:val="24"/>
                <w:lang w:val="uk-UA"/>
              </w:rPr>
              <w:t>100%</w:t>
            </w:r>
          </w:p>
        </w:tc>
      </w:tr>
    </w:tbl>
    <w:p w:rsidR="001A466E" w:rsidRPr="00B41EB4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 xml:space="preserve">*Розмір коштів, що витрачатимуться суб’єктами господарювання </w:t>
      </w:r>
      <w:r>
        <w:rPr>
          <w:sz w:val="24"/>
          <w:szCs w:val="24"/>
          <w:lang w:val="uk-UA"/>
        </w:rPr>
        <w:t>(великими підприємствами та ФОП)</w:t>
      </w:r>
      <w:r w:rsidRPr="00B41EB4">
        <w:rPr>
          <w:sz w:val="24"/>
          <w:szCs w:val="24"/>
          <w:lang w:val="uk-UA"/>
        </w:rPr>
        <w:t>, пов’язаний  з  виконанням  вимог  акта,  може  бути  змінений,  якщо  зміниться  розмір мінімальної заробітної плати, з них:</w:t>
      </w:r>
    </w:p>
    <w:p w:rsidR="001A466E" w:rsidRPr="00B41EB4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>2,6</w:t>
      </w:r>
      <w:r>
        <w:rPr>
          <w:sz w:val="24"/>
          <w:szCs w:val="24"/>
          <w:lang w:val="uk-UA"/>
        </w:rPr>
        <w:t xml:space="preserve"> г</w:t>
      </w:r>
      <w:r w:rsidRPr="00B41EB4">
        <w:rPr>
          <w:sz w:val="24"/>
          <w:szCs w:val="24"/>
          <w:lang w:val="uk-UA"/>
        </w:rPr>
        <w:t xml:space="preserve">одини – розмір часу з таблиці М-Тест до аналізу регуляторного впливу проекту рішення Южноукраїнської міської ради «Про встановлення на 2020 рік ставок туристичного збору в місті Южноукраїнську» на одного суб'єкта малого підприємництва; </w:t>
      </w:r>
    </w:p>
    <w:p w:rsidR="001A466E" w:rsidRPr="00B41EB4" w:rsidRDefault="001A466E" w:rsidP="001A466E">
      <w:pPr>
        <w:jc w:val="both"/>
        <w:rPr>
          <w:sz w:val="24"/>
          <w:szCs w:val="24"/>
          <w:lang w:val="uk-UA"/>
        </w:rPr>
      </w:pPr>
      <w:r w:rsidRPr="000D6863">
        <w:rPr>
          <w:sz w:val="24"/>
          <w:szCs w:val="24"/>
          <w:lang w:val="uk-UA"/>
        </w:rPr>
        <w:t>23,7 тис.грн  в т. ч. 6,8</w:t>
      </w:r>
      <w:r w:rsidRPr="00B41EB4">
        <w:rPr>
          <w:sz w:val="24"/>
          <w:szCs w:val="24"/>
          <w:lang w:val="uk-UA"/>
        </w:rPr>
        <w:t xml:space="preserve"> тис.грн.</w:t>
      </w:r>
      <w:r w:rsidRPr="00B41EB4">
        <w:rPr>
          <w:color w:val="000000"/>
          <w:sz w:val="24"/>
          <w:szCs w:val="24"/>
          <w:lang w:val="uk-UA"/>
        </w:rPr>
        <w:t>– розмір коштів  витрат суб’єктів малого підприємництва з  таблиці  М-Тест  до</w:t>
      </w:r>
      <w:r w:rsidRPr="00B41EB4">
        <w:rPr>
          <w:sz w:val="24"/>
          <w:szCs w:val="24"/>
          <w:lang w:val="uk-UA"/>
        </w:rPr>
        <w:t xml:space="preserve">  аналізу  регуляторного  впливу  проекту  рішення  міської  ради   «Про встановлення на 2020 рік ставок туристичного збору в місті Южноукраїнську» без суми туристичного збору.</w:t>
      </w:r>
    </w:p>
    <w:p w:rsidR="001A466E" w:rsidRPr="00B41EB4" w:rsidRDefault="001A466E" w:rsidP="001A466E">
      <w:pPr>
        <w:ind w:firstLine="426"/>
        <w:jc w:val="both"/>
        <w:rPr>
          <w:sz w:val="24"/>
          <w:szCs w:val="24"/>
          <w:lang w:val="uk-UA"/>
        </w:rPr>
      </w:pPr>
    </w:p>
    <w:p w:rsidR="001A466E" w:rsidRPr="00B41EB4" w:rsidRDefault="001A466E" w:rsidP="001A466E">
      <w:pPr>
        <w:ind w:firstLine="426"/>
        <w:jc w:val="both"/>
        <w:rPr>
          <w:b/>
          <w:bCs/>
          <w:sz w:val="24"/>
          <w:szCs w:val="24"/>
          <w:lang w:val="uk-UA"/>
        </w:rPr>
      </w:pPr>
      <w:r w:rsidRPr="00B41EB4">
        <w:rPr>
          <w:b/>
          <w:bCs/>
          <w:sz w:val="24"/>
          <w:szCs w:val="24"/>
          <w:lang w:val="uk-UA"/>
        </w:rPr>
        <w:t>9. Заходи, за допомогою яких буде здійснюватися відстеження результативності регуляторного акта</w:t>
      </w:r>
    </w:p>
    <w:p w:rsidR="001A466E" w:rsidRPr="00B41EB4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>Базове  відстеження  результативності  регуляторного  акта  буде здійснюватись  після  набрання  чинності  цим  регуляторним  актом  шляхом статистичного аналізу показників туристичного збору.</w:t>
      </w:r>
    </w:p>
    <w:p w:rsidR="001A466E" w:rsidRPr="00B41EB4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 xml:space="preserve">Повторне відстеження буде здійснюватись за  один  місяці  до  дня закінчення визначеного строку дії регуляторного акта. </w:t>
      </w:r>
    </w:p>
    <w:p w:rsidR="001A466E" w:rsidRPr="00B41EB4" w:rsidRDefault="001A466E" w:rsidP="001A466E">
      <w:pPr>
        <w:ind w:firstLine="426"/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>З огляду на показники  результативності, визначені у попередньому розділі  аналізу  регуляторного  акта,  відстеження  результативності  цього регуляторного  акта  буде  здійснюватися  статистичним   та  соціологічним методами.</w:t>
      </w:r>
    </w:p>
    <w:p w:rsidR="001A466E" w:rsidRPr="00B41EB4" w:rsidRDefault="001A466E" w:rsidP="001A466E">
      <w:pPr>
        <w:ind w:firstLine="426"/>
        <w:jc w:val="both"/>
        <w:rPr>
          <w:sz w:val="24"/>
          <w:szCs w:val="24"/>
          <w:lang w:val="uk-UA"/>
        </w:rPr>
      </w:pPr>
    </w:p>
    <w:p w:rsidR="001A466E" w:rsidRPr="00B41EB4" w:rsidRDefault="001A466E" w:rsidP="001A466E">
      <w:pPr>
        <w:ind w:firstLine="426"/>
        <w:jc w:val="both"/>
        <w:rPr>
          <w:sz w:val="24"/>
          <w:szCs w:val="24"/>
          <w:lang w:val="uk-UA"/>
        </w:rPr>
      </w:pPr>
    </w:p>
    <w:p w:rsidR="001A466E" w:rsidRPr="00B41EB4" w:rsidRDefault="001A466E" w:rsidP="001A466E">
      <w:pPr>
        <w:ind w:firstLine="426"/>
        <w:jc w:val="both"/>
        <w:rPr>
          <w:sz w:val="24"/>
          <w:szCs w:val="24"/>
          <w:lang w:val="uk-UA"/>
        </w:rPr>
      </w:pPr>
    </w:p>
    <w:p w:rsidR="001A466E" w:rsidRPr="00B41EB4" w:rsidRDefault="001A466E" w:rsidP="001A466E">
      <w:pPr>
        <w:ind w:firstLine="426"/>
        <w:jc w:val="both"/>
        <w:rPr>
          <w:sz w:val="24"/>
          <w:szCs w:val="24"/>
          <w:lang w:val="uk-UA"/>
        </w:rPr>
      </w:pPr>
    </w:p>
    <w:p w:rsidR="001A466E" w:rsidRPr="00B41EB4" w:rsidRDefault="001A466E" w:rsidP="001A466E">
      <w:pPr>
        <w:ind w:firstLine="426"/>
        <w:jc w:val="both"/>
        <w:rPr>
          <w:sz w:val="24"/>
          <w:szCs w:val="24"/>
          <w:lang w:val="uk-UA"/>
        </w:rPr>
      </w:pPr>
    </w:p>
    <w:p w:rsidR="001A466E" w:rsidRPr="00B41EB4" w:rsidRDefault="001A466E" w:rsidP="001A466E">
      <w:pPr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>Начальник управління економічного</w:t>
      </w:r>
    </w:p>
    <w:p w:rsidR="001A466E" w:rsidRPr="00B41EB4" w:rsidRDefault="001A466E" w:rsidP="001A466E">
      <w:pPr>
        <w:jc w:val="both"/>
        <w:rPr>
          <w:sz w:val="24"/>
          <w:szCs w:val="24"/>
          <w:lang w:val="uk-UA"/>
        </w:rPr>
      </w:pPr>
      <w:r w:rsidRPr="00B41EB4">
        <w:rPr>
          <w:sz w:val="24"/>
          <w:szCs w:val="24"/>
          <w:lang w:val="uk-UA"/>
        </w:rPr>
        <w:t xml:space="preserve"> розвитку Южноукраїнської міської ради </w:t>
      </w:r>
      <w:r w:rsidRPr="00B41EB4">
        <w:rPr>
          <w:sz w:val="24"/>
          <w:szCs w:val="24"/>
          <w:lang w:val="uk-UA"/>
        </w:rPr>
        <w:tab/>
      </w:r>
      <w:r w:rsidRPr="00B41EB4">
        <w:rPr>
          <w:sz w:val="24"/>
          <w:szCs w:val="24"/>
          <w:lang w:val="uk-UA"/>
        </w:rPr>
        <w:tab/>
      </w:r>
      <w:r w:rsidRPr="00B41EB4">
        <w:rPr>
          <w:sz w:val="24"/>
          <w:szCs w:val="24"/>
          <w:lang w:val="uk-UA"/>
        </w:rPr>
        <w:tab/>
      </w:r>
      <w:r w:rsidRPr="00B41EB4">
        <w:rPr>
          <w:sz w:val="24"/>
          <w:szCs w:val="24"/>
          <w:lang w:val="uk-UA"/>
        </w:rPr>
        <w:tab/>
        <w:t>І.В. Петрик</w:t>
      </w:r>
    </w:p>
    <w:p w:rsidR="001A466E" w:rsidRPr="00B41EB4" w:rsidRDefault="001A466E" w:rsidP="001A466E">
      <w:pPr>
        <w:jc w:val="both"/>
        <w:rPr>
          <w:sz w:val="24"/>
          <w:szCs w:val="24"/>
          <w:lang w:val="uk-UA"/>
        </w:rPr>
      </w:pPr>
    </w:p>
    <w:p w:rsidR="001A466E" w:rsidRPr="00B41EB4" w:rsidRDefault="001A466E" w:rsidP="001A466E">
      <w:pPr>
        <w:jc w:val="both"/>
        <w:rPr>
          <w:sz w:val="24"/>
          <w:szCs w:val="24"/>
          <w:lang w:val="uk-UA"/>
        </w:rPr>
      </w:pPr>
    </w:p>
    <w:p w:rsidR="001A466E" w:rsidRPr="00B41EB4" w:rsidRDefault="001A466E" w:rsidP="001A466E">
      <w:pPr>
        <w:jc w:val="both"/>
        <w:rPr>
          <w:sz w:val="24"/>
          <w:szCs w:val="24"/>
          <w:lang w:val="uk-UA"/>
        </w:rPr>
      </w:pPr>
    </w:p>
    <w:p w:rsidR="001A466E" w:rsidRDefault="001A466E" w:rsidP="001A466E">
      <w:pPr>
        <w:ind w:firstLine="426"/>
        <w:jc w:val="both"/>
        <w:rPr>
          <w:b/>
          <w:bCs/>
          <w:sz w:val="24"/>
          <w:szCs w:val="24"/>
          <w:lang w:val="uk-UA"/>
        </w:rPr>
      </w:pPr>
    </w:p>
    <w:p w:rsidR="001A466E" w:rsidRDefault="001A466E" w:rsidP="001A466E">
      <w:pPr>
        <w:ind w:firstLine="426"/>
        <w:jc w:val="both"/>
        <w:rPr>
          <w:b/>
          <w:bCs/>
          <w:sz w:val="24"/>
          <w:szCs w:val="24"/>
          <w:lang w:val="uk-UA"/>
        </w:rPr>
      </w:pPr>
    </w:p>
    <w:p w:rsidR="001A466E" w:rsidRDefault="001A466E" w:rsidP="001A466E">
      <w:pPr>
        <w:ind w:firstLine="426"/>
        <w:jc w:val="both"/>
        <w:rPr>
          <w:b/>
          <w:bCs/>
          <w:sz w:val="24"/>
          <w:szCs w:val="24"/>
          <w:lang w:val="uk-UA"/>
        </w:rPr>
      </w:pPr>
    </w:p>
    <w:p w:rsidR="001A466E" w:rsidRDefault="001A466E" w:rsidP="001A466E">
      <w:pPr>
        <w:ind w:firstLine="426"/>
        <w:jc w:val="both"/>
        <w:rPr>
          <w:b/>
          <w:bCs/>
          <w:sz w:val="24"/>
          <w:szCs w:val="24"/>
          <w:lang w:val="uk-UA"/>
        </w:rPr>
      </w:pPr>
    </w:p>
    <w:p w:rsidR="001A466E" w:rsidRDefault="001A466E" w:rsidP="001A466E">
      <w:pPr>
        <w:ind w:firstLine="426"/>
        <w:jc w:val="both"/>
        <w:rPr>
          <w:b/>
          <w:bCs/>
          <w:sz w:val="24"/>
          <w:szCs w:val="24"/>
          <w:lang w:val="uk-UA"/>
        </w:rPr>
      </w:pPr>
    </w:p>
    <w:p w:rsidR="001A466E" w:rsidRDefault="001A466E" w:rsidP="001A466E">
      <w:pPr>
        <w:ind w:firstLine="426"/>
        <w:jc w:val="both"/>
        <w:rPr>
          <w:b/>
          <w:bCs/>
          <w:sz w:val="24"/>
          <w:szCs w:val="24"/>
          <w:lang w:val="uk-UA"/>
        </w:rPr>
      </w:pPr>
    </w:p>
    <w:p w:rsidR="001A466E" w:rsidRDefault="001A466E" w:rsidP="001A466E">
      <w:pPr>
        <w:ind w:firstLine="426"/>
        <w:jc w:val="both"/>
        <w:rPr>
          <w:b/>
          <w:bCs/>
          <w:sz w:val="24"/>
          <w:szCs w:val="24"/>
          <w:lang w:val="uk-UA"/>
        </w:rPr>
      </w:pPr>
    </w:p>
    <w:p w:rsidR="00CF57CC" w:rsidRPr="001A466E" w:rsidRDefault="00CF57CC">
      <w:pPr>
        <w:rPr>
          <w:lang w:val="uk-UA"/>
        </w:rPr>
      </w:pPr>
    </w:p>
    <w:sectPr w:rsidR="00CF57CC" w:rsidRPr="001A466E" w:rsidSect="00CF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466E"/>
    <w:rsid w:val="001A466E"/>
    <w:rsid w:val="00CF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uiPriority w:val="99"/>
    <w:locked/>
    <w:rsid w:val="001A466E"/>
    <w:rPr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1A466E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Нормальний текст"/>
    <w:basedOn w:val="a"/>
    <w:uiPriority w:val="99"/>
    <w:rsid w:val="001A466E"/>
    <w:pPr>
      <w:overflowPunct/>
      <w:autoSpaceDE/>
      <w:autoSpaceDN/>
      <w:adjustRightInd/>
      <w:spacing w:before="120"/>
      <w:ind w:firstLine="567"/>
      <w:textAlignment w:val="auto"/>
    </w:pPr>
    <w:rPr>
      <w:rFonts w:ascii="Antiqua" w:hAnsi="Antiqua" w:cs="Antiqua"/>
      <w:sz w:val="26"/>
      <w:szCs w:val="26"/>
      <w:lang w:val="uk-UA"/>
    </w:rPr>
  </w:style>
  <w:style w:type="character" w:customStyle="1" w:styleId="2">
    <w:name w:val="Стиль2"/>
    <w:basedOn w:val="a6"/>
    <w:uiPriority w:val="99"/>
    <w:rsid w:val="001A466E"/>
  </w:style>
  <w:style w:type="paragraph" w:customStyle="1" w:styleId="a7">
    <w:name w:val="Назва документа"/>
    <w:basedOn w:val="a"/>
    <w:next w:val="a5"/>
    <w:uiPriority w:val="99"/>
    <w:rsid w:val="001A466E"/>
    <w:pPr>
      <w:keepNext/>
      <w:keepLines/>
      <w:overflowPunct/>
      <w:autoSpaceDE/>
      <w:autoSpaceDN/>
      <w:adjustRightInd/>
      <w:spacing w:before="240" w:after="240"/>
      <w:jc w:val="center"/>
      <w:textAlignment w:val="auto"/>
    </w:pPr>
    <w:rPr>
      <w:rFonts w:ascii="Antiqua" w:hAnsi="Antiqua" w:cs="Antiqua"/>
      <w:b/>
      <w:bCs/>
      <w:sz w:val="26"/>
      <w:szCs w:val="26"/>
      <w:lang w:val="uk-UA"/>
    </w:rPr>
  </w:style>
  <w:style w:type="paragraph" w:styleId="a8">
    <w:name w:val="No Spacing"/>
    <w:link w:val="a9"/>
    <w:uiPriority w:val="99"/>
    <w:qFormat/>
    <w:rsid w:val="001A466E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character" w:customStyle="1" w:styleId="a9">
    <w:name w:val="Без интервала Знак"/>
    <w:link w:val="a8"/>
    <w:uiPriority w:val="99"/>
    <w:locked/>
    <w:rsid w:val="001A466E"/>
    <w:rPr>
      <w:rFonts w:ascii="Calibri" w:eastAsia="Calibri" w:hAnsi="Calibri" w:cs="Calibri"/>
      <w:lang w:val="en-US" w:eastAsia="ru-RU"/>
    </w:rPr>
  </w:style>
  <w:style w:type="paragraph" w:customStyle="1" w:styleId="aa">
    <w:name w:val="_ДЛЯ ШАПКИ ТАБЛИЦЫ"/>
    <w:basedOn w:val="ab"/>
    <w:uiPriority w:val="99"/>
    <w:rsid w:val="001A466E"/>
    <w:pPr>
      <w:pBdr>
        <w:bottom w:val="none" w:sz="0" w:space="0" w:color="auto"/>
      </w:pBdr>
      <w:overflowPunct/>
      <w:autoSpaceDE/>
      <w:autoSpaceDN/>
      <w:adjustRightInd/>
      <w:spacing w:after="0" w:line="14" w:lineRule="auto"/>
      <w:contextualSpacing w:val="0"/>
      <w:jc w:val="center"/>
      <w:textAlignment w:val="auto"/>
    </w:pPr>
    <w:rPr>
      <w:rFonts w:ascii="Calibri" w:eastAsia="Times New Roman" w:hAnsi="Calibri" w:cs="Calibri"/>
      <w:b/>
      <w:bCs/>
      <w:i/>
      <w:iCs/>
      <w:color w:val="auto"/>
      <w:spacing w:val="0"/>
      <w:kern w:val="0"/>
      <w:sz w:val="2"/>
      <w:szCs w:val="2"/>
      <w:lang w:val="uk-UA"/>
    </w:rPr>
  </w:style>
  <w:style w:type="character" w:styleId="a6">
    <w:name w:val="line number"/>
    <w:basedOn w:val="a0"/>
    <w:uiPriority w:val="99"/>
    <w:semiHidden/>
    <w:unhideWhenUsed/>
    <w:rsid w:val="001A466E"/>
  </w:style>
  <w:style w:type="paragraph" w:styleId="ab">
    <w:name w:val="Title"/>
    <w:basedOn w:val="a"/>
    <w:next w:val="a"/>
    <w:link w:val="ac"/>
    <w:uiPriority w:val="10"/>
    <w:qFormat/>
    <w:rsid w:val="001A46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A46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ostka-rada.gov.ua/proekt-rshennya-shostkinsko-msko-radi-pro-vstanovlennya-mscevih-podatkv-zborv-na-2019-r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4263</Words>
  <Characters>24303</Characters>
  <Application>Microsoft Office Word</Application>
  <DocSecurity>0</DocSecurity>
  <Lines>202</Lines>
  <Paragraphs>57</Paragraphs>
  <ScaleCrop>false</ScaleCrop>
  <Company>Computer</Company>
  <LinksUpToDate>false</LinksUpToDate>
  <CharactersWithSpaces>28509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2019-05-10T11:23:00Z</dcterms:created>
  <dcterms:modified xsi:type="dcterms:W3CDTF">2019-05-10T11:23:00Z</dcterms:modified>
</cp:coreProperties>
</file>